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A99D90" w14:textId="77777777" w:rsidR="00CB7C09" w:rsidRPr="00064D2A" w:rsidRDefault="00CB7C09"/>
    <w:p w14:paraId="74168F39" w14:textId="77777777" w:rsidR="00721ECD" w:rsidRPr="00064D2A" w:rsidRDefault="00204627" w:rsidP="00A20F6E">
      <w:pPr>
        <w:jc w:val="center"/>
        <w:rPr>
          <w:rFonts w:ascii="Arial" w:hAnsi="Arial" w:cs="Arial"/>
          <w:b/>
          <w:bCs/>
        </w:rPr>
      </w:pPr>
      <w:r w:rsidRPr="00064D2A">
        <w:rPr>
          <w:rFonts w:ascii="Arial" w:hAnsi="Arial" w:cs="Arial"/>
          <w:b/>
          <w:bCs/>
        </w:rPr>
        <w:t xml:space="preserve">ZESTAWIENIE UWAG WRAZ ZE STANOWISKIEM MRIT </w:t>
      </w:r>
      <w:r w:rsidR="00721ECD" w:rsidRPr="00064D2A">
        <w:rPr>
          <w:rFonts w:ascii="Arial" w:hAnsi="Arial" w:cs="Arial"/>
          <w:b/>
          <w:bCs/>
        </w:rPr>
        <w:t xml:space="preserve">- </w:t>
      </w:r>
      <w:r w:rsidRPr="00064D2A">
        <w:rPr>
          <w:rFonts w:ascii="Arial" w:hAnsi="Arial" w:cs="Arial"/>
          <w:b/>
          <w:bCs/>
        </w:rPr>
        <w:t>II UZGODNIENIA</w:t>
      </w:r>
      <w:r w:rsidR="00721ECD" w:rsidRPr="00064D2A">
        <w:rPr>
          <w:rFonts w:ascii="Arial" w:hAnsi="Arial" w:cs="Arial"/>
          <w:b/>
          <w:bCs/>
        </w:rPr>
        <w:t xml:space="preserve"> i OPINIOWANIE</w:t>
      </w:r>
    </w:p>
    <w:p w14:paraId="21EE639E" w14:textId="54122E8E" w:rsidR="00A20F6E" w:rsidRPr="00064D2A" w:rsidRDefault="00204627" w:rsidP="00A20F6E">
      <w:pPr>
        <w:jc w:val="center"/>
        <w:rPr>
          <w:rFonts w:ascii="Arial" w:hAnsi="Arial" w:cs="Arial"/>
          <w:sz w:val="20"/>
          <w:szCs w:val="20"/>
        </w:rPr>
      </w:pPr>
      <w:r w:rsidRPr="00064D2A">
        <w:rPr>
          <w:rFonts w:ascii="Arial" w:hAnsi="Arial" w:cs="Arial"/>
          <w:sz w:val="20"/>
          <w:szCs w:val="20"/>
        </w:rPr>
        <w:t xml:space="preserve"> </w:t>
      </w:r>
      <w:r w:rsidR="00582F29" w:rsidRPr="00064D2A">
        <w:rPr>
          <w:rFonts w:ascii="Arial" w:hAnsi="Arial" w:cs="Arial"/>
          <w:sz w:val="20"/>
          <w:szCs w:val="20"/>
        </w:rPr>
        <w:t xml:space="preserve">projektu ustawy o zmianie ustawy  o obrocie z zagranicą towarami o znaczeniu strategicznym oraz </w:t>
      </w:r>
      <w:r w:rsidR="00582F29" w:rsidRPr="00064D2A">
        <w:rPr>
          <w:rFonts w:ascii="Arial" w:eastAsiaTheme="minorEastAsia" w:hAnsi="Arial" w:cs="Arial"/>
          <w:sz w:val="20"/>
          <w:szCs w:val="20"/>
          <w:lang w:eastAsia="pl-PL"/>
        </w:rPr>
        <w:t xml:space="preserve"> </w:t>
      </w:r>
      <w:r w:rsidR="00582F29" w:rsidRPr="00064D2A">
        <w:rPr>
          <w:rFonts w:ascii="Arial" w:hAnsi="Arial" w:cs="Arial"/>
          <w:sz w:val="20"/>
          <w:szCs w:val="20"/>
        </w:rPr>
        <w:t>zmianie ustawy o wykonywaniu działalności gospodarczej w zakresie wytwarzania i obrotu materiałami wybuchowymi, bronią, amunicją oraz wyrobami i technologią o przeznaczeniu wojskowym lub policyjnym (UC30)</w:t>
      </w:r>
    </w:p>
    <w:p w14:paraId="39071A02" w14:textId="77777777" w:rsidR="00A20F6E" w:rsidRPr="00064D2A" w:rsidRDefault="00A20F6E"/>
    <w:tbl>
      <w:tblPr>
        <w:tblStyle w:val="Tabela-Siatka"/>
        <w:tblW w:w="0" w:type="auto"/>
        <w:tblLayout w:type="fixed"/>
        <w:tblLook w:val="04A0" w:firstRow="1" w:lastRow="0" w:firstColumn="1" w:lastColumn="0" w:noHBand="0" w:noVBand="1"/>
      </w:tblPr>
      <w:tblGrid>
        <w:gridCol w:w="562"/>
        <w:gridCol w:w="1333"/>
        <w:gridCol w:w="1395"/>
        <w:gridCol w:w="3793"/>
        <w:gridCol w:w="2693"/>
        <w:gridCol w:w="4111"/>
      </w:tblGrid>
      <w:tr w:rsidR="00721ECD" w:rsidRPr="00064D2A" w14:paraId="09305A6A" w14:textId="184CC45E" w:rsidTr="00064D2A">
        <w:tc>
          <w:tcPr>
            <w:tcW w:w="562" w:type="dxa"/>
            <w:shd w:val="clear" w:color="auto" w:fill="DAE9F7" w:themeFill="text2" w:themeFillTint="1A"/>
          </w:tcPr>
          <w:p w14:paraId="48B83419" w14:textId="77777777" w:rsidR="00721ECD" w:rsidRPr="00064D2A" w:rsidRDefault="00721ECD" w:rsidP="000D4CAF">
            <w:pPr>
              <w:autoSpaceDE w:val="0"/>
              <w:autoSpaceDN w:val="0"/>
              <w:adjustRightInd w:val="0"/>
              <w:spacing w:line="300" w:lineRule="auto"/>
              <w:jc w:val="both"/>
              <w:rPr>
                <w:rFonts w:ascii="Arial" w:hAnsi="Arial" w:cs="Arial"/>
                <w:b/>
                <w:bCs/>
                <w:lang w:val="pl-PL"/>
              </w:rPr>
            </w:pPr>
          </w:p>
          <w:p w14:paraId="5DB38742" w14:textId="77777777" w:rsidR="00721ECD" w:rsidRPr="00064D2A" w:rsidRDefault="00721ECD" w:rsidP="000D4CAF">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LP.</w:t>
            </w:r>
          </w:p>
        </w:tc>
        <w:tc>
          <w:tcPr>
            <w:tcW w:w="1333" w:type="dxa"/>
            <w:shd w:val="clear" w:color="auto" w:fill="DAE9F7" w:themeFill="text2" w:themeFillTint="1A"/>
          </w:tcPr>
          <w:p w14:paraId="4B58E98F" w14:textId="77777777" w:rsidR="00721ECD" w:rsidRPr="00064D2A" w:rsidRDefault="00721ECD" w:rsidP="00582F29">
            <w:pPr>
              <w:autoSpaceDE w:val="0"/>
              <w:autoSpaceDN w:val="0"/>
              <w:adjustRightInd w:val="0"/>
              <w:spacing w:line="300" w:lineRule="auto"/>
              <w:jc w:val="center"/>
              <w:rPr>
                <w:rFonts w:ascii="Arial" w:hAnsi="Arial" w:cs="Arial"/>
                <w:b/>
                <w:bCs/>
                <w:lang w:val="pl-PL"/>
              </w:rPr>
            </w:pPr>
          </w:p>
          <w:p w14:paraId="7869E7DA" w14:textId="5B26A47E" w:rsidR="00582F29" w:rsidRPr="00064D2A" w:rsidRDefault="00721ECD" w:rsidP="00582F29">
            <w:pPr>
              <w:autoSpaceDE w:val="0"/>
              <w:autoSpaceDN w:val="0"/>
              <w:adjustRightInd w:val="0"/>
              <w:spacing w:line="300" w:lineRule="auto"/>
              <w:jc w:val="center"/>
              <w:rPr>
                <w:rFonts w:ascii="Arial" w:hAnsi="Arial" w:cs="Arial"/>
                <w:b/>
                <w:bCs/>
                <w:lang w:val="pl-PL"/>
              </w:rPr>
            </w:pPr>
            <w:r w:rsidRPr="00064D2A">
              <w:rPr>
                <w:rFonts w:ascii="Arial" w:hAnsi="Arial" w:cs="Arial"/>
                <w:b/>
                <w:bCs/>
                <w:lang w:val="pl-PL"/>
              </w:rPr>
              <w:t>PODMIOT ZGŁA</w:t>
            </w:r>
            <w:r w:rsidR="00582F29" w:rsidRPr="00064D2A">
              <w:rPr>
                <w:rFonts w:ascii="Arial" w:hAnsi="Arial" w:cs="Arial"/>
                <w:b/>
                <w:bCs/>
                <w:lang w:val="pl-PL"/>
              </w:rPr>
              <w:t>SZA-</w:t>
            </w:r>
          </w:p>
          <w:p w14:paraId="2D04F315" w14:textId="1C7B75ED" w:rsidR="00721ECD" w:rsidRPr="00064D2A" w:rsidRDefault="00721ECD" w:rsidP="00582F29">
            <w:pPr>
              <w:autoSpaceDE w:val="0"/>
              <w:autoSpaceDN w:val="0"/>
              <w:adjustRightInd w:val="0"/>
              <w:spacing w:line="300" w:lineRule="auto"/>
              <w:jc w:val="center"/>
              <w:rPr>
                <w:rFonts w:ascii="Arial" w:hAnsi="Arial" w:cs="Arial"/>
                <w:b/>
                <w:bCs/>
                <w:lang w:val="pl-PL"/>
              </w:rPr>
            </w:pPr>
            <w:r w:rsidRPr="00064D2A">
              <w:rPr>
                <w:rFonts w:ascii="Arial" w:hAnsi="Arial" w:cs="Arial"/>
                <w:b/>
                <w:bCs/>
                <w:lang w:val="pl-PL"/>
              </w:rPr>
              <w:t>JĄCY UWAGĘ</w:t>
            </w:r>
          </w:p>
        </w:tc>
        <w:tc>
          <w:tcPr>
            <w:tcW w:w="1395" w:type="dxa"/>
            <w:shd w:val="clear" w:color="auto" w:fill="DAE9F7" w:themeFill="text2" w:themeFillTint="1A"/>
          </w:tcPr>
          <w:p w14:paraId="31EE4831" w14:textId="1B5FCF6C" w:rsidR="00721ECD" w:rsidRPr="00064D2A" w:rsidRDefault="00721ECD" w:rsidP="00582F29">
            <w:pPr>
              <w:autoSpaceDE w:val="0"/>
              <w:autoSpaceDN w:val="0"/>
              <w:adjustRightInd w:val="0"/>
              <w:spacing w:line="300" w:lineRule="auto"/>
              <w:jc w:val="center"/>
              <w:rPr>
                <w:rFonts w:ascii="Arial" w:hAnsi="Arial" w:cs="Arial"/>
                <w:b/>
                <w:bCs/>
                <w:lang w:val="pl-PL"/>
              </w:rPr>
            </w:pPr>
            <w:r w:rsidRPr="00064D2A">
              <w:rPr>
                <w:rFonts w:ascii="Arial" w:hAnsi="Arial" w:cs="Arial"/>
                <w:b/>
                <w:bCs/>
                <w:lang w:val="pl-PL"/>
              </w:rPr>
              <w:t>PRZEPIS PROJEKTU KTÓREGO DOTYCZY UWAGA</w:t>
            </w:r>
          </w:p>
        </w:tc>
        <w:tc>
          <w:tcPr>
            <w:tcW w:w="3793" w:type="dxa"/>
            <w:shd w:val="clear" w:color="auto" w:fill="DAE9F7" w:themeFill="text2" w:themeFillTint="1A"/>
          </w:tcPr>
          <w:p w14:paraId="1D54584B" w14:textId="77777777" w:rsidR="00721ECD" w:rsidRPr="00064D2A" w:rsidRDefault="00721ECD" w:rsidP="000D4CAF">
            <w:pPr>
              <w:autoSpaceDE w:val="0"/>
              <w:autoSpaceDN w:val="0"/>
              <w:adjustRightInd w:val="0"/>
              <w:spacing w:line="300" w:lineRule="auto"/>
              <w:jc w:val="both"/>
              <w:rPr>
                <w:rFonts w:ascii="Arial" w:hAnsi="Arial" w:cs="Arial"/>
                <w:b/>
                <w:bCs/>
                <w:lang w:val="pl-PL"/>
              </w:rPr>
            </w:pPr>
          </w:p>
          <w:p w14:paraId="76039995" w14:textId="77777777" w:rsidR="00582F29" w:rsidRPr="00064D2A" w:rsidRDefault="00582F29" w:rsidP="000D4CAF">
            <w:pPr>
              <w:autoSpaceDE w:val="0"/>
              <w:autoSpaceDN w:val="0"/>
              <w:adjustRightInd w:val="0"/>
              <w:spacing w:line="300" w:lineRule="auto"/>
              <w:jc w:val="both"/>
              <w:rPr>
                <w:rFonts w:ascii="Arial" w:hAnsi="Arial" w:cs="Arial"/>
                <w:b/>
                <w:bCs/>
                <w:lang w:val="pl-PL"/>
              </w:rPr>
            </w:pPr>
          </w:p>
          <w:p w14:paraId="47CBFC94" w14:textId="0327E3CA" w:rsidR="00721ECD" w:rsidRPr="00064D2A" w:rsidRDefault="00721ECD" w:rsidP="00582F29">
            <w:pPr>
              <w:autoSpaceDE w:val="0"/>
              <w:autoSpaceDN w:val="0"/>
              <w:adjustRightInd w:val="0"/>
              <w:spacing w:line="300" w:lineRule="auto"/>
              <w:jc w:val="center"/>
              <w:rPr>
                <w:rFonts w:ascii="Arial" w:hAnsi="Arial" w:cs="Arial"/>
                <w:b/>
                <w:bCs/>
                <w:lang w:val="pl-PL"/>
              </w:rPr>
            </w:pPr>
            <w:r w:rsidRPr="00064D2A">
              <w:rPr>
                <w:rFonts w:ascii="Arial" w:hAnsi="Arial" w:cs="Arial"/>
                <w:b/>
                <w:bCs/>
                <w:lang w:val="pl-PL"/>
              </w:rPr>
              <w:t>UWAGA</w:t>
            </w:r>
          </w:p>
        </w:tc>
        <w:tc>
          <w:tcPr>
            <w:tcW w:w="2693" w:type="dxa"/>
            <w:shd w:val="clear" w:color="auto" w:fill="DAE9F7" w:themeFill="text2" w:themeFillTint="1A"/>
          </w:tcPr>
          <w:p w14:paraId="77A5909B" w14:textId="77777777" w:rsidR="00721ECD" w:rsidRPr="00064D2A" w:rsidRDefault="00721ECD" w:rsidP="00582F29">
            <w:pPr>
              <w:autoSpaceDE w:val="0"/>
              <w:autoSpaceDN w:val="0"/>
              <w:adjustRightInd w:val="0"/>
              <w:spacing w:line="300" w:lineRule="auto"/>
              <w:jc w:val="center"/>
              <w:rPr>
                <w:rFonts w:ascii="Arial" w:hAnsi="Arial" w:cs="Arial"/>
                <w:b/>
                <w:bCs/>
                <w:lang w:val="pl-PL"/>
              </w:rPr>
            </w:pPr>
          </w:p>
          <w:p w14:paraId="5B858426" w14:textId="77777777" w:rsidR="00582F29" w:rsidRPr="00064D2A" w:rsidRDefault="00582F29" w:rsidP="00582F29">
            <w:pPr>
              <w:autoSpaceDE w:val="0"/>
              <w:autoSpaceDN w:val="0"/>
              <w:adjustRightInd w:val="0"/>
              <w:spacing w:line="300" w:lineRule="auto"/>
              <w:jc w:val="center"/>
              <w:rPr>
                <w:rFonts w:ascii="Arial" w:hAnsi="Arial" w:cs="Arial"/>
                <w:b/>
                <w:bCs/>
                <w:lang w:val="pl-PL"/>
              </w:rPr>
            </w:pPr>
          </w:p>
          <w:p w14:paraId="25A97828" w14:textId="2681C594" w:rsidR="00721ECD" w:rsidRPr="00064D2A" w:rsidRDefault="00721ECD" w:rsidP="00582F29">
            <w:pPr>
              <w:autoSpaceDE w:val="0"/>
              <w:autoSpaceDN w:val="0"/>
              <w:adjustRightInd w:val="0"/>
              <w:spacing w:line="300" w:lineRule="auto"/>
              <w:jc w:val="center"/>
              <w:rPr>
                <w:rFonts w:ascii="Arial" w:hAnsi="Arial" w:cs="Arial"/>
                <w:b/>
                <w:bCs/>
                <w:lang w:val="pl-PL"/>
              </w:rPr>
            </w:pPr>
            <w:r w:rsidRPr="00064D2A">
              <w:rPr>
                <w:rFonts w:ascii="Arial" w:hAnsi="Arial" w:cs="Arial"/>
                <w:b/>
                <w:bCs/>
                <w:lang w:val="pl-PL"/>
              </w:rPr>
              <w:t>UZASADNIENIE UWAGI</w:t>
            </w:r>
          </w:p>
        </w:tc>
        <w:tc>
          <w:tcPr>
            <w:tcW w:w="4111" w:type="dxa"/>
            <w:shd w:val="clear" w:color="auto" w:fill="DAE9F7" w:themeFill="text2" w:themeFillTint="1A"/>
          </w:tcPr>
          <w:p w14:paraId="6EEBAB1F" w14:textId="77777777" w:rsidR="00721ECD" w:rsidRPr="00064D2A" w:rsidRDefault="00721ECD" w:rsidP="00582F29">
            <w:pPr>
              <w:autoSpaceDE w:val="0"/>
              <w:autoSpaceDN w:val="0"/>
              <w:adjustRightInd w:val="0"/>
              <w:spacing w:line="300" w:lineRule="auto"/>
              <w:jc w:val="center"/>
              <w:rPr>
                <w:rFonts w:ascii="Arial" w:hAnsi="Arial" w:cs="Arial"/>
                <w:b/>
                <w:bCs/>
                <w:lang w:val="pl-PL"/>
              </w:rPr>
            </w:pPr>
          </w:p>
          <w:p w14:paraId="1CF1E16D" w14:textId="77777777" w:rsidR="00582F29" w:rsidRPr="00064D2A" w:rsidRDefault="00582F29" w:rsidP="00582F29">
            <w:pPr>
              <w:autoSpaceDE w:val="0"/>
              <w:autoSpaceDN w:val="0"/>
              <w:adjustRightInd w:val="0"/>
              <w:spacing w:line="300" w:lineRule="auto"/>
              <w:jc w:val="center"/>
              <w:rPr>
                <w:rFonts w:ascii="Arial" w:hAnsi="Arial" w:cs="Arial"/>
                <w:b/>
                <w:bCs/>
                <w:lang w:val="pl-PL"/>
              </w:rPr>
            </w:pPr>
          </w:p>
          <w:p w14:paraId="54161706" w14:textId="2C2B874A" w:rsidR="00721ECD" w:rsidRPr="00064D2A" w:rsidRDefault="00721ECD" w:rsidP="00582F29">
            <w:pPr>
              <w:autoSpaceDE w:val="0"/>
              <w:autoSpaceDN w:val="0"/>
              <w:adjustRightInd w:val="0"/>
              <w:spacing w:line="300" w:lineRule="auto"/>
              <w:jc w:val="center"/>
              <w:rPr>
                <w:rFonts w:ascii="Arial" w:hAnsi="Arial" w:cs="Arial"/>
                <w:b/>
                <w:bCs/>
                <w:lang w:val="pl-PL"/>
              </w:rPr>
            </w:pPr>
            <w:r w:rsidRPr="00064D2A">
              <w:rPr>
                <w:rFonts w:ascii="Arial" w:hAnsi="Arial" w:cs="Arial"/>
                <w:b/>
                <w:bCs/>
                <w:lang w:val="pl-PL"/>
              </w:rPr>
              <w:t>STANOWISKO MRIT</w:t>
            </w:r>
          </w:p>
        </w:tc>
      </w:tr>
      <w:tr w:rsidR="00B576EE" w:rsidRPr="00064D2A" w14:paraId="04A4983C" w14:textId="77777777" w:rsidTr="00582F29">
        <w:tc>
          <w:tcPr>
            <w:tcW w:w="13887" w:type="dxa"/>
            <w:gridSpan w:val="6"/>
            <w:shd w:val="clear" w:color="auto" w:fill="E8E8E8" w:themeFill="background2"/>
          </w:tcPr>
          <w:p w14:paraId="41D3E0CF" w14:textId="77777777" w:rsidR="00582F29" w:rsidRPr="00064D2A" w:rsidRDefault="00582F29" w:rsidP="00B576EE">
            <w:pPr>
              <w:autoSpaceDE w:val="0"/>
              <w:autoSpaceDN w:val="0"/>
              <w:adjustRightInd w:val="0"/>
              <w:spacing w:line="300" w:lineRule="auto"/>
              <w:jc w:val="center"/>
              <w:rPr>
                <w:rFonts w:ascii="Arial" w:hAnsi="Arial" w:cs="Arial"/>
                <w:b/>
                <w:bCs/>
                <w:lang w:val="pl-PL"/>
              </w:rPr>
            </w:pPr>
          </w:p>
          <w:p w14:paraId="379CC246" w14:textId="77777777" w:rsidR="00B576EE" w:rsidRPr="00064D2A" w:rsidRDefault="00B576EE" w:rsidP="00B576EE">
            <w:pPr>
              <w:autoSpaceDE w:val="0"/>
              <w:autoSpaceDN w:val="0"/>
              <w:adjustRightInd w:val="0"/>
              <w:spacing w:line="300" w:lineRule="auto"/>
              <w:jc w:val="center"/>
              <w:rPr>
                <w:rFonts w:ascii="Arial" w:hAnsi="Arial" w:cs="Arial"/>
                <w:b/>
                <w:bCs/>
                <w:lang w:val="pl-PL"/>
              </w:rPr>
            </w:pPr>
            <w:r w:rsidRPr="00064D2A">
              <w:rPr>
                <w:rFonts w:ascii="Arial" w:hAnsi="Arial" w:cs="Arial"/>
                <w:b/>
                <w:bCs/>
                <w:lang w:val="pl-PL"/>
              </w:rPr>
              <w:t>UZGODNIENIA</w:t>
            </w:r>
          </w:p>
          <w:p w14:paraId="5D363BE5" w14:textId="7575C357" w:rsidR="00582F29" w:rsidRPr="00064D2A" w:rsidRDefault="00582F29" w:rsidP="00B576EE">
            <w:pPr>
              <w:autoSpaceDE w:val="0"/>
              <w:autoSpaceDN w:val="0"/>
              <w:adjustRightInd w:val="0"/>
              <w:spacing w:line="300" w:lineRule="auto"/>
              <w:jc w:val="center"/>
              <w:rPr>
                <w:rFonts w:ascii="Arial" w:hAnsi="Arial" w:cs="Arial"/>
                <w:b/>
                <w:bCs/>
                <w:sz w:val="16"/>
                <w:szCs w:val="16"/>
                <w:lang w:val="pl-PL"/>
              </w:rPr>
            </w:pPr>
          </w:p>
        </w:tc>
      </w:tr>
      <w:tr w:rsidR="00721ECD" w:rsidRPr="00064D2A" w14:paraId="7536F803" w14:textId="6E7E28F4" w:rsidTr="00064D2A">
        <w:tc>
          <w:tcPr>
            <w:tcW w:w="562" w:type="dxa"/>
          </w:tcPr>
          <w:p w14:paraId="1F095B78" w14:textId="58ADEF9A" w:rsidR="00721ECD" w:rsidRPr="00064D2A" w:rsidRDefault="00721ECD" w:rsidP="00B56E14">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1.</w:t>
            </w:r>
          </w:p>
        </w:tc>
        <w:tc>
          <w:tcPr>
            <w:tcW w:w="1333" w:type="dxa"/>
          </w:tcPr>
          <w:p w14:paraId="4506BE98" w14:textId="69AB1D17" w:rsidR="00721ECD" w:rsidRPr="00064D2A" w:rsidRDefault="00721ECD" w:rsidP="00B56E14">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RCL</w:t>
            </w:r>
          </w:p>
        </w:tc>
        <w:tc>
          <w:tcPr>
            <w:tcW w:w="1395" w:type="dxa"/>
          </w:tcPr>
          <w:p w14:paraId="2ECAA94F" w14:textId="26D99A39" w:rsidR="00721ECD" w:rsidRPr="00064D2A" w:rsidRDefault="00721ECD" w:rsidP="0049157F">
            <w:pPr>
              <w:autoSpaceDE w:val="0"/>
              <w:autoSpaceDN w:val="0"/>
              <w:adjustRightInd w:val="0"/>
              <w:jc w:val="both"/>
              <w:rPr>
                <w:rFonts w:ascii="Arial" w:hAnsi="Arial" w:cs="Arial"/>
                <w:b/>
                <w:bCs/>
                <w:lang w:val="pl-PL"/>
              </w:rPr>
            </w:pPr>
            <w:r w:rsidRPr="00064D2A">
              <w:rPr>
                <w:rFonts w:ascii="Arial" w:hAnsi="Arial" w:cs="Arial"/>
                <w:b/>
                <w:bCs/>
                <w:lang w:val="pl-PL"/>
              </w:rPr>
              <w:t>Odnośniki</w:t>
            </w:r>
          </w:p>
        </w:tc>
        <w:tc>
          <w:tcPr>
            <w:tcW w:w="3793" w:type="dxa"/>
          </w:tcPr>
          <w:p w14:paraId="4E40FE7A" w14:textId="338D062C" w:rsidR="00721ECD" w:rsidRPr="005F4D75" w:rsidRDefault="00721ECD" w:rsidP="00B56E14">
            <w:pPr>
              <w:jc w:val="both"/>
              <w:rPr>
                <w:rFonts w:ascii="Arial" w:hAnsi="Arial" w:cs="Arial"/>
                <w:lang w:val="pl-PL"/>
              </w:rPr>
            </w:pPr>
            <w:r w:rsidRPr="00064D2A">
              <w:rPr>
                <w:rFonts w:ascii="Arial" w:hAnsi="Arial" w:cs="Arial"/>
                <w:lang w:val="pl-PL"/>
              </w:rPr>
              <w:t>W zakresie d</w:t>
            </w:r>
            <w:r w:rsidRPr="005F4D75">
              <w:rPr>
                <w:rFonts w:ascii="Arial" w:hAnsi="Arial" w:cs="Arial"/>
                <w:lang w:val="pl-PL"/>
              </w:rPr>
              <w:t>odania analogicznego odnośnika informacyjnego jaki został dodany w tytule projektu</w:t>
            </w:r>
            <w:r w:rsidRPr="00064D2A">
              <w:rPr>
                <w:rFonts w:ascii="Arial" w:hAnsi="Arial" w:cs="Arial"/>
                <w:lang w:val="pl-PL"/>
              </w:rPr>
              <w:t xml:space="preserve"> </w:t>
            </w:r>
            <w:r w:rsidRPr="005F4D75">
              <w:rPr>
                <w:rFonts w:ascii="Arial" w:hAnsi="Arial" w:cs="Arial"/>
                <w:lang w:val="pl-PL"/>
              </w:rPr>
              <w:t>(niniejsza ustawa służy stosowaniu/ niniejsza ustawa wdraża) w tytule ustaw zmienianych.</w:t>
            </w:r>
          </w:p>
          <w:p w14:paraId="2FCDF83E" w14:textId="77777777" w:rsidR="00721ECD" w:rsidRPr="00064D2A" w:rsidRDefault="00721ECD" w:rsidP="00B56E14">
            <w:pPr>
              <w:jc w:val="both"/>
              <w:rPr>
                <w:rFonts w:ascii="Arial" w:hAnsi="Arial" w:cs="Arial"/>
                <w:b/>
                <w:bCs/>
                <w:lang w:val="pl-PL"/>
              </w:rPr>
            </w:pPr>
          </w:p>
        </w:tc>
        <w:tc>
          <w:tcPr>
            <w:tcW w:w="2693" w:type="dxa"/>
          </w:tcPr>
          <w:p w14:paraId="0BB93360" w14:textId="6BC5849B" w:rsidR="00721ECD" w:rsidRPr="00064D2A" w:rsidRDefault="00721ECD" w:rsidP="00B56E14">
            <w:pPr>
              <w:jc w:val="both"/>
              <w:rPr>
                <w:rFonts w:ascii="Arial" w:hAnsi="Arial" w:cs="Arial"/>
                <w:b/>
                <w:bCs/>
                <w:lang w:val="pl-PL"/>
              </w:rPr>
            </w:pPr>
            <w:r w:rsidRPr="005F4D75">
              <w:rPr>
                <w:rFonts w:ascii="Arial" w:hAnsi="Arial" w:cs="Arial"/>
                <w:lang w:val="pl-PL"/>
              </w:rPr>
              <w:t>W przypadku bowiem gdy akt wdrażający jest aktem zmieniającym należy (poza</w:t>
            </w:r>
            <w:r w:rsidRPr="00064D2A">
              <w:rPr>
                <w:rFonts w:ascii="Arial" w:hAnsi="Arial" w:cs="Arial"/>
                <w:lang w:val="pl-PL"/>
              </w:rPr>
              <w:t xml:space="preserve"> </w:t>
            </w:r>
            <w:r w:rsidRPr="005F4D75">
              <w:rPr>
                <w:rFonts w:ascii="Arial" w:hAnsi="Arial" w:cs="Arial"/>
                <w:lang w:val="pl-PL"/>
              </w:rPr>
              <w:t>umieszczeniem odnośnika w akcie zmieniającym) odpowiednio dodać (jeżeli zmieniany</w:t>
            </w:r>
            <w:r w:rsidRPr="00064D2A">
              <w:rPr>
                <w:rFonts w:ascii="Arial" w:hAnsi="Arial" w:cs="Arial"/>
                <w:lang w:val="pl-PL"/>
              </w:rPr>
              <w:t xml:space="preserve"> </w:t>
            </w:r>
            <w:r w:rsidRPr="005F4D75">
              <w:rPr>
                <w:rFonts w:ascii="Arial" w:hAnsi="Arial" w:cs="Arial"/>
                <w:lang w:val="pl-PL"/>
              </w:rPr>
              <w:t>akt nie zawiera odwołania do zmienianej dyrektywy, gdyż przed nowelizacją nie</w:t>
            </w:r>
            <w:r w:rsidRPr="00064D2A">
              <w:rPr>
                <w:rFonts w:ascii="Arial" w:hAnsi="Arial" w:cs="Arial"/>
                <w:lang w:val="pl-PL"/>
              </w:rPr>
              <w:t xml:space="preserve"> </w:t>
            </w:r>
            <w:r w:rsidRPr="005F4D75">
              <w:rPr>
                <w:rFonts w:ascii="Arial" w:hAnsi="Arial" w:cs="Arial"/>
                <w:lang w:val="pl-PL"/>
              </w:rPr>
              <w:t>dokonywał jej wdrożenia – w takiej sytuacji akt zmieniający będzie zawierał odnośnik do</w:t>
            </w:r>
            <w:r w:rsidRPr="00064D2A">
              <w:rPr>
                <w:rFonts w:ascii="Arial" w:hAnsi="Arial" w:cs="Arial"/>
                <w:lang w:val="pl-PL"/>
              </w:rPr>
              <w:t xml:space="preserve"> </w:t>
            </w:r>
            <w:r w:rsidRPr="005F4D75">
              <w:rPr>
                <w:rFonts w:ascii="Arial" w:hAnsi="Arial" w:cs="Arial"/>
                <w:lang w:val="pl-PL"/>
              </w:rPr>
              <w:t>dyrektywy zmieniającej, a akt zmieniany do dyrektywy zmienianej) albo uzupełnić (jeżeli</w:t>
            </w:r>
            <w:r w:rsidRPr="00064D2A">
              <w:rPr>
                <w:rFonts w:ascii="Arial" w:hAnsi="Arial" w:cs="Arial"/>
                <w:lang w:val="pl-PL"/>
              </w:rPr>
              <w:t xml:space="preserve"> </w:t>
            </w:r>
            <w:r w:rsidRPr="005F4D75">
              <w:rPr>
                <w:rFonts w:ascii="Arial" w:hAnsi="Arial" w:cs="Arial"/>
                <w:lang w:val="pl-PL"/>
              </w:rPr>
              <w:t>wdrażana jest dyrektywa zmieniająca, a akt podstawowy zawiera jedynie odniesienie do</w:t>
            </w:r>
            <w:r w:rsidRPr="00064D2A">
              <w:rPr>
                <w:rFonts w:ascii="Arial" w:hAnsi="Arial" w:cs="Arial"/>
                <w:lang w:val="pl-PL"/>
              </w:rPr>
              <w:t xml:space="preserve"> </w:t>
            </w:r>
            <w:r w:rsidRPr="005F4D75">
              <w:rPr>
                <w:rFonts w:ascii="Arial" w:hAnsi="Arial" w:cs="Arial"/>
                <w:lang w:val="pl-PL"/>
              </w:rPr>
              <w:t xml:space="preserve">dyrektywy matki – w odnośniku zmienianego </w:t>
            </w:r>
            <w:r w:rsidRPr="005F4D75">
              <w:rPr>
                <w:rFonts w:ascii="Arial" w:hAnsi="Arial" w:cs="Arial"/>
                <w:lang w:val="pl-PL"/>
              </w:rPr>
              <w:lastRenderedPageBreak/>
              <w:t>aktu wystarczy dodać publikator wdrażanej</w:t>
            </w:r>
            <w:r w:rsidRPr="00064D2A">
              <w:rPr>
                <w:rFonts w:ascii="Arial" w:hAnsi="Arial" w:cs="Arial"/>
                <w:lang w:val="pl-PL"/>
              </w:rPr>
              <w:t xml:space="preserve"> </w:t>
            </w:r>
            <w:r w:rsidRPr="005F4D75">
              <w:rPr>
                <w:rFonts w:ascii="Arial" w:hAnsi="Arial" w:cs="Arial"/>
                <w:lang w:val="pl-PL"/>
              </w:rPr>
              <w:t>dyrektywy) odnośnik w akcie podstawowym (uwaga nr 1 pisma RCL z dnia 30 lipca 2024</w:t>
            </w:r>
            <w:r w:rsidRPr="00064D2A">
              <w:rPr>
                <w:rFonts w:ascii="Arial" w:hAnsi="Arial" w:cs="Arial"/>
                <w:lang w:val="pl-PL"/>
              </w:rPr>
              <w:t xml:space="preserve"> </w:t>
            </w:r>
            <w:r w:rsidRPr="005F4D75">
              <w:rPr>
                <w:rFonts w:ascii="Arial" w:hAnsi="Arial" w:cs="Arial"/>
                <w:lang w:val="pl-PL"/>
              </w:rPr>
              <w:t>r.).</w:t>
            </w:r>
          </w:p>
        </w:tc>
        <w:tc>
          <w:tcPr>
            <w:tcW w:w="4111" w:type="dxa"/>
          </w:tcPr>
          <w:p w14:paraId="7A3E6514" w14:textId="77777777" w:rsidR="00721ECD" w:rsidRPr="00064D2A" w:rsidRDefault="00721ECD" w:rsidP="003546E0">
            <w:pPr>
              <w:autoSpaceDE w:val="0"/>
              <w:autoSpaceDN w:val="0"/>
              <w:adjustRightInd w:val="0"/>
              <w:jc w:val="both"/>
              <w:rPr>
                <w:rFonts w:ascii="Arial" w:hAnsi="Arial" w:cs="Arial"/>
                <w:b/>
                <w:bCs/>
                <w:lang w:val="pl-PL"/>
              </w:rPr>
            </w:pPr>
            <w:r w:rsidRPr="00064D2A">
              <w:rPr>
                <w:rFonts w:ascii="Arial" w:hAnsi="Arial" w:cs="Arial"/>
                <w:b/>
                <w:bCs/>
                <w:lang w:val="pl-PL"/>
              </w:rPr>
              <w:lastRenderedPageBreak/>
              <w:t xml:space="preserve">Uwaga uwzględniona – </w:t>
            </w:r>
          </w:p>
          <w:p w14:paraId="34E6CDE5" w14:textId="77777777" w:rsidR="00721ECD" w:rsidRPr="00064D2A" w:rsidRDefault="00721ECD" w:rsidP="003546E0">
            <w:pPr>
              <w:autoSpaceDE w:val="0"/>
              <w:autoSpaceDN w:val="0"/>
              <w:adjustRightInd w:val="0"/>
              <w:jc w:val="both"/>
              <w:rPr>
                <w:rFonts w:ascii="Arial" w:hAnsi="Arial" w:cs="Arial"/>
                <w:b/>
                <w:bCs/>
                <w:lang w:val="pl-PL"/>
              </w:rPr>
            </w:pPr>
          </w:p>
          <w:p w14:paraId="74A01BCB" w14:textId="46B8A6E1" w:rsidR="00721ECD" w:rsidRPr="00064D2A" w:rsidRDefault="00721ECD" w:rsidP="003546E0">
            <w:pPr>
              <w:autoSpaceDE w:val="0"/>
              <w:autoSpaceDN w:val="0"/>
              <w:adjustRightInd w:val="0"/>
              <w:jc w:val="both"/>
              <w:rPr>
                <w:rFonts w:ascii="Arial" w:hAnsi="Arial" w:cs="Arial"/>
                <w:lang w:val="pl-PL"/>
              </w:rPr>
            </w:pPr>
            <w:r w:rsidRPr="00064D2A">
              <w:rPr>
                <w:rFonts w:ascii="Arial" w:hAnsi="Arial" w:cs="Arial"/>
                <w:lang w:val="pl-PL"/>
              </w:rPr>
              <w:t>dodano odnośniki w obu tytułach aktów zmienianych.</w:t>
            </w:r>
          </w:p>
          <w:p w14:paraId="78F6086E" w14:textId="16428C54" w:rsidR="00721ECD" w:rsidRPr="00064D2A" w:rsidRDefault="00721ECD" w:rsidP="00B56E14">
            <w:pPr>
              <w:autoSpaceDE w:val="0"/>
              <w:autoSpaceDN w:val="0"/>
              <w:adjustRightInd w:val="0"/>
              <w:spacing w:line="300" w:lineRule="auto"/>
              <w:jc w:val="both"/>
              <w:rPr>
                <w:rFonts w:ascii="Arial" w:hAnsi="Arial" w:cs="Arial"/>
                <w:b/>
                <w:bCs/>
                <w:lang w:val="pl-PL"/>
              </w:rPr>
            </w:pPr>
          </w:p>
        </w:tc>
      </w:tr>
      <w:tr w:rsidR="00721ECD" w:rsidRPr="00064D2A" w14:paraId="156596EE" w14:textId="11AE6477" w:rsidTr="00064D2A">
        <w:tc>
          <w:tcPr>
            <w:tcW w:w="562" w:type="dxa"/>
          </w:tcPr>
          <w:p w14:paraId="58D57915" w14:textId="2B7D21BF" w:rsidR="00721ECD" w:rsidRPr="00064D2A" w:rsidRDefault="00721ECD" w:rsidP="00B56E14">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2.</w:t>
            </w:r>
          </w:p>
        </w:tc>
        <w:tc>
          <w:tcPr>
            <w:tcW w:w="1333" w:type="dxa"/>
          </w:tcPr>
          <w:p w14:paraId="10930D59" w14:textId="69021786" w:rsidR="00721ECD" w:rsidRPr="00064D2A" w:rsidRDefault="00721ECD" w:rsidP="00B56E14">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RCL</w:t>
            </w:r>
          </w:p>
        </w:tc>
        <w:tc>
          <w:tcPr>
            <w:tcW w:w="1395" w:type="dxa"/>
          </w:tcPr>
          <w:p w14:paraId="7473C654" w14:textId="31F59658" w:rsidR="00721ECD" w:rsidRPr="00064D2A" w:rsidRDefault="00721ECD" w:rsidP="0049157F">
            <w:pPr>
              <w:autoSpaceDE w:val="0"/>
              <w:autoSpaceDN w:val="0"/>
              <w:adjustRightInd w:val="0"/>
              <w:jc w:val="both"/>
              <w:rPr>
                <w:rFonts w:ascii="Arial" w:hAnsi="Arial" w:cs="Arial"/>
                <w:b/>
                <w:bCs/>
                <w:lang w:val="pl-PL"/>
              </w:rPr>
            </w:pPr>
            <w:r w:rsidRPr="00064D2A">
              <w:rPr>
                <w:rFonts w:ascii="Arial" w:hAnsi="Arial" w:cs="Arial"/>
                <w:b/>
                <w:bCs/>
                <w:lang w:val="pl-PL"/>
              </w:rPr>
              <w:t xml:space="preserve">Art. 1 pkt 2 lit. b) – w odniesieniu do art. 3 pkt 5b </w:t>
            </w:r>
            <w:r w:rsidRPr="00064D2A">
              <w:rPr>
                <w:rFonts w:ascii="Arial" w:hAnsi="Arial" w:cs="Arial"/>
                <w:lang w:val="pl-PL"/>
              </w:rPr>
              <w:t xml:space="preserve">ustawy o obrocie z zagranicą  o obrocie z zagranicą towarami o znaczeniu strategicznym oraz </w:t>
            </w:r>
            <w:r w:rsidRPr="00064D2A">
              <w:rPr>
                <w:rFonts w:ascii="Arial" w:eastAsiaTheme="minorEastAsia" w:hAnsi="Arial" w:cs="Arial"/>
                <w:lang w:val="pl-PL" w:eastAsia="pl-PL"/>
              </w:rPr>
              <w:t xml:space="preserve"> </w:t>
            </w:r>
            <w:r w:rsidRPr="00064D2A">
              <w:rPr>
                <w:rFonts w:ascii="Arial" w:hAnsi="Arial" w:cs="Arial"/>
                <w:lang w:val="pl-PL"/>
              </w:rPr>
              <w:t>zmianie ustawy o wykonywaniu działalności gospodarczej w zakresie wytwarzania (dalej „ustawa o obrocie”)</w:t>
            </w:r>
          </w:p>
        </w:tc>
        <w:tc>
          <w:tcPr>
            <w:tcW w:w="3793" w:type="dxa"/>
          </w:tcPr>
          <w:p w14:paraId="188C6ACC" w14:textId="2A6EBB5E" w:rsidR="00721ECD" w:rsidRPr="00064D2A" w:rsidRDefault="00721ECD" w:rsidP="003546E0">
            <w:pPr>
              <w:autoSpaceDE w:val="0"/>
              <w:autoSpaceDN w:val="0"/>
              <w:adjustRightInd w:val="0"/>
              <w:jc w:val="both"/>
              <w:rPr>
                <w:rFonts w:ascii="Arial" w:hAnsi="Arial" w:cs="Arial"/>
                <w:b/>
                <w:bCs/>
                <w:lang w:val="pl-PL"/>
              </w:rPr>
            </w:pPr>
            <w:r w:rsidRPr="00064D2A">
              <w:rPr>
                <w:rFonts w:ascii="Arial" w:hAnsi="Arial" w:cs="Arial"/>
                <w:lang w:val="pl-PL"/>
              </w:rPr>
              <w:t>W zakresie w</w:t>
            </w:r>
            <w:r w:rsidRPr="005F4D75">
              <w:rPr>
                <w:rFonts w:ascii="Arial" w:hAnsi="Arial" w:cs="Arial"/>
                <w:lang w:val="pl-PL"/>
              </w:rPr>
              <w:t>yjaśnienia zmiany definicji „pomocy technicznej” w części, w jakiej odnosi się ona do</w:t>
            </w:r>
            <w:r w:rsidRPr="00064D2A">
              <w:rPr>
                <w:rFonts w:ascii="Arial" w:hAnsi="Arial" w:cs="Arial"/>
                <w:lang w:val="pl-PL"/>
              </w:rPr>
              <w:t xml:space="preserve"> </w:t>
            </w:r>
            <w:r w:rsidRPr="005F4D75">
              <w:rPr>
                <w:rFonts w:ascii="Arial" w:hAnsi="Arial" w:cs="Arial"/>
                <w:lang w:val="pl-PL"/>
              </w:rPr>
              <w:t>uzbrojenia (uwaga nr 2 pisma RCL z dnia 30 lipca 2024 r.).</w:t>
            </w:r>
          </w:p>
        </w:tc>
        <w:tc>
          <w:tcPr>
            <w:tcW w:w="2693" w:type="dxa"/>
          </w:tcPr>
          <w:p w14:paraId="7239A002" w14:textId="43209209" w:rsidR="00721ECD" w:rsidRPr="005F4D75" w:rsidRDefault="00721ECD" w:rsidP="00B56E14">
            <w:pPr>
              <w:jc w:val="both"/>
              <w:rPr>
                <w:rFonts w:ascii="Arial" w:hAnsi="Arial" w:cs="Arial"/>
                <w:lang w:val="pl-PL"/>
              </w:rPr>
            </w:pPr>
            <w:r w:rsidRPr="005F4D75">
              <w:rPr>
                <w:rFonts w:ascii="Arial" w:hAnsi="Arial" w:cs="Arial"/>
                <w:lang w:val="pl-PL"/>
              </w:rPr>
              <w:t>Za takie wyjaśnienie nie można</w:t>
            </w:r>
            <w:r w:rsidRPr="00064D2A">
              <w:rPr>
                <w:rFonts w:ascii="Arial" w:hAnsi="Arial" w:cs="Arial"/>
                <w:lang w:val="pl-PL"/>
              </w:rPr>
              <w:t xml:space="preserve"> </w:t>
            </w:r>
            <w:r w:rsidRPr="005F4D75">
              <w:rPr>
                <w:rFonts w:ascii="Arial" w:hAnsi="Arial" w:cs="Arial"/>
                <w:lang w:val="pl-PL"/>
              </w:rPr>
              <w:t>uznać dodanie w uzasadnieniu projektu stwierdzenia o innym podejściu i praktycznym</w:t>
            </w:r>
            <w:r w:rsidRPr="00064D2A">
              <w:rPr>
                <w:rFonts w:ascii="Arial" w:hAnsi="Arial" w:cs="Arial"/>
                <w:lang w:val="pl-PL"/>
              </w:rPr>
              <w:t xml:space="preserve"> </w:t>
            </w:r>
            <w:r w:rsidRPr="005F4D75">
              <w:rPr>
                <w:rFonts w:ascii="Arial" w:hAnsi="Arial" w:cs="Arial"/>
                <w:lang w:val="pl-PL"/>
              </w:rPr>
              <w:t>stosowaniu pomocy technicznej w odniesieniu do dwóch odrębnych grup towarów (str. 3)</w:t>
            </w:r>
            <w:r w:rsidRPr="00064D2A">
              <w:rPr>
                <w:rFonts w:ascii="Arial" w:hAnsi="Arial" w:cs="Arial"/>
                <w:lang w:val="pl-PL"/>
              </w:rPr>
              <w:t xml:space="preserve"> </w:t>
            </w:r>
            <w:r w:rsidRPr="005F4D75">
              <w:rPr>
                <w:rFonts w:ascii="Arial" w:hAnsi="Arial" w:cs="Arial"/>
                <w:lang w:val="pl-PL"/>
              </w:rPr>
              <w:t>bez wskazania zasadności zmiany podejścia i wprowadzenia takiej zmiany regulacji.</w:t>
            </w:r>
            <w:r w:rsidRPr="00064D2A">
              <w:rPr>
                <w:rFonts w:ascii="Arial" w:hAnsi="Arial" w:cs="Arial"/>
                <w:lang w:val="pl-PL"/>
              </w:rPr>
              <w:t xml:space="preserve"> </w:t>
            </w:r>
            <w:r w:rsidRPr="005F4D75">
              <w:rPr>
                <w:rFonts w:ascii="Arial" w:hAnsi="Arial" w:cs="Arial"/>
                <w:lang w:val="pl-PL"/>
              </w:rPr>
              <w:t>Zauważyć przy tym należy, że zmiana redakcyjna dokonana w art. 3 pkt 5b ustawy o</w:t>
            </w:r>
            <w:r w:rsidRPr="00064D2A">
              <w:rPr>
                <w:rFonts w:ascii="Arial" w:hAnsi="Arial" w:cs="Arial"/>
                <w:lang w:val="pl-PL"/>
              </w:rPr>
              <w:t xml:space="preserve"> </w:t>
            </w:r>
            <w:r w:rsidRPr="005F4D75">
              <w:rPr>
                <w:rFonts w:ascii="Arial" w:hAnsi="Arial" w:cs="Arial"/>
                <w:lang w:val="pl-PL"/>
              </w:rPr>
              <w:t>obrocie z zagranicą towarami, technologiami i usługami o znaczeniu strategicznym dla</w:t>
            </w:r>
            <w:r w:rsidRPr="00064D2A">
              <w:rPr>
                <w:rFonts w:ascii="Arial" w:hAnsi="Arial" w:cs="Arial"/>
                <w:lang w:val="pl-PL"/>
              </w:rPr>
              <w:t xml:space="preserve"> </w:t>
            </w:r>
            <w:r w:rsidRPr="005F4D75">
              <w:rPr>
                <w:rFonts w:ascii="Arial" w:hAnsi="Arial" w:cs="Arial"/>
                <w:lang w:val="pl-PL"/>
              </w:rPr>
              <w:t>bezpieczeństwa państwa, a także dla utrzymania</w:t>
            </w:r>
            <w:r w:rsidRPr="00064D2A">
              <w:rPr>
                <w:rFonts w:ascii="Arial" w:hAnsi="Arial" w:cs="Arial"/>
                <w:lang w:val="pl-PL"/>
              </w:rPr>
              <w:t xml:space="preserve"> </w:t>
            </w:r>
            <w:r w:rsidRPr="005F4D75">
              <w:rPr>
                <w:rFonts w:ascii="Arial" w:hAnsi="Arial" w:cs="Arial"/>
                <w:lang w:val="pl-PL"/>
              </w:rPr>
              <w:t>międzynarodowego pokoju i</w:t>
            </w:r>
            <w:r w:rsidRPr="00064D2A">
              <w:rPr>
                <w:rFonts w:ascii="Arial" w:hAnsi="Arial" w:cs="Arial"/>
                <w:lang w:val="pl-PL"/>
              </w:rPr>
              <w:t xml:space="preserve"> </w:t>
            </w:r>
            <w:r w:rsidRPr="005F4D75">
              <w:rPr>
                <w:rFonts w:ascii="Arial" w:hAnsi="Arial" w:cs="Arial"/>
                <w:lang w:val="pl-PL"/>
              </w:rPr>
              <w:t>bezpieczeństwa (dalej „ustawa o obrocie”) nadal uznaje za formę pomocy technicznej</w:t>
            </w:r>
            <w:r w:rsidRPr="00064D2A">
              <w:rPr>
                <w:rFonts w:ascii="Arial" w:hAnsi="Arial" w:cs="Arial"/>
                <w:lang w:val="pl-PL"/>
              </w:rPr>
              <w:t xml:space="preserve"> </w:t>
            </w:r>
            <w:r w:rsidRPr="005F4D75">
              <w:rPr>
                <w:rFonts w:ascii="Arial" w:hAnsi="Arial" w:cs="Arial"/>
                <w:lang w:val="pl-PL"/>
              </w:rPr>
              <w:t>wparcie związane z „przekazywaniem usług konsultingowych”.</w:t>
            </w:r>
          </w:p>
          <w:p w14:paraId="5DE9C556" w14:textId="77777777" w:rsidR="00721ECD" w:rsidRPr="00064D2A" w:rsidRDefault="00721ECD" w:rsidP="00B56E14">
            <w:pPr>
              <w:autoSpaceDE w:val="0"/>
              <w:autoSpaceDN w:val="0"/>
              <w:adjustRightInd w:val="0"/>
              <w:spacing w:line="300" w:lineRule="auto"/>
              <w:jc w:val="both"/>
              <w:rPr>
                <w:rFonts w:ascii="Arial" w:hAnsi="Arial" w:cs="Arial"/>
                <w:b/>
                <w:bCs/>
                <w:lang w:val="pl-PL"/>
              </w:rPr>
            </w:pPr>
          </w:p>
        </w:tc>
        <w:tc>
          <w:tcPr>
            <w:tcW w:w="4111" w:type="dxa"/>
          </w:tcPr>
          <w:p w14:paraId="0CC9F940" w14:textId="77777777" w:rsidR="00721ECD" w:rsidRPr="00064D2A" w:rsidRDefault="00721ECD" w:rsidP="003546E0">
            <w:pPr>
              <w:autoSpaceDE w:val="0"/>
              <w:autoSpaceDN w:val="0"/>
              <w:adjustRightInd w:val="0"/>
              <w:jc w:val="both"/>
              <w:rPr>
                <w:rFonts w:ascii="Arial" w:hAnsi="Arial" w:cs="Arial"/>
                <w:b/>
                <w:bCs/>
                <w:lang w:val="pl-PL"/>
              </w:rPr>
            </w:pPr>
            <w:r w:rsidRPr="00064D2A">
              <w:rPr>
                <w:rFonts w:ascii="Arial" w:hAnsi="Arial" w:cs="Arial"/>
                <w:b/>
                <w:bCs/>
                <w:lang w:val="pl-PL"/>
              </w:rPr>
              <w:t xml:space="preserve">Uwaga uwzględniona – </w:t>
            </w:r>
          </w:p>
          <w:p w14:paraId="2FD46C63" w14:textId="77777777" w:rsidR="00D4137E" w:rsidRDefault="00D4137E" w:rsidP="003546E0">
            <w:pPr>
              <w:autoSpaceDE w:val="0"/>
              <w:autoSpaceDN w:val="0"/>
              <w:adjustRightInd w:val="0"/>
              <w:jc w:val="both"/>
              <w:rPr>
                <w:rFonts w:ascii="Arial" w:hAnsi="Arial" w:cs="Arial"/>
                <w:lang w:val="pl-PL"/>
              </w:rPr>
            </w:pPr>
          </w:p>
          <w:p w14:paraId="6A50F07C" w14:textId="0B996B1B" w:rsidR="00721ECD" w:rsidRPr="00064D2A" w:rsidRDefault="00721ECD" w:rsidP="003546E0">
            <w:pPr>
              <w:autoSpaceDE w:val="0"/>
              <w:autoSpaceDN w:val="0"/>
              <w:adjustRightInd w:val="0"/>
              <w:jc w:val="both"/>
              <w:rPr>
                <w:rFonts w:ascii="Arial" w:hAnsi="Arial" w:cs="Arial"/>
                <w:b/>
                <w:bCs/>
                <w:lang w:val="pl-PL"/>
              </w:rPr>
            </w:pPr>
            <w:r w:rsidRPr="00D4137E">
              <w:rPr>
                <w:rFonts w:ascii="Arial" w:hAnsi="Arial" w:cs="Arial"/>
                <w:lang w:val="pl-PL"/>
              </w:rPr>
              <w:t>zmieniono przepis i dodano wyjaśnienie w uzasadnieniu.</w:t>
            </w:r>
            <w:r w:rsidR="00D4137E">
              <w:rPr>
                <w:rFonts w:ascii="Arial" w:hAnsi="Arial" w:cs="Arial"/>
                <w:lang w:val="pl-PL"/>
              </w:rPr>
              <w:t xml:space="preserve"> </w:t>
            </w:r>
            <w:r w:rsidR="00D4137E" w:rsidRPr="00D4137E">
              <w:rPr>
                <w:rFonts w:ascii="Arial" w:hAnsi="Arial" w:cs="Arial"/>
                <w:lang w:val="pl-PL"/>
              </w:rPr>
              <w:t xml:space="preserve">W przypadku uzbrojenia definicja pozostała treściowo praktycznie niezmieniona w stosunku do obecnej ustawy. Dodano </w:t>
            </w:r>
            <w:r w:rsidR="00D4137E">
              <w:rPr>
                <w:rFonts w:ascii="Arial" w:hAnsi="Arial" w:cs="Arial"/>
                <w:lang w:val="pl-PL"/>
              </w:rPr>
              <w:t>wyraz</w:t>
            </w:r>
            <w:r w:rsidR="00D4137E" w:rsidRPr="00D4137E">
              <w:rPr>
                <w:rFonts w:ascii="Arial" w:hAnsi="Arial" w:cs="Arial"/>
                <w:lang w:val="pl-PL"/>
              </w:rPr>
              <w:t xml:space="preserve"> „świadczenia” w przypadku usług konsultingowych. </w:t>
            </w:r>
            <w:r w:rsidR="00D4137E">
              <w:rPr>
                <w:rFonts w:ascii="Arial" w:hAnsi="Arial" w:cs="Arial"/>
                <w:lang w:val="pl-PL"/>
              </w:rPr>
              <w:t>Wyraz</w:t>
            </w:r>
            <w:r w:rsidR="00D4137E" w:rsidRPr="00D4137E">
              <w:rPr>
                <w:rFonts w:ascii="Arial" w:hAnsi="Arial" w:cs="Arial"/>
                <w:lang w:val="pl-PL"/>
              </w:rPr>
              <w:t xml:space="preserve"> „świadczenie” adekwatniej  odnosi się do usług konsultingowych niż „przekazywanie”</w:t>
            </w:r>
            <w:r w:rsidR="00D4137E">
              <w:rPr>
                <w:rFonts w:ascii="Arial" w:hAnsi="Arial" w:cs="Arial"/>
                <w:lang w:val="pl-PL"/>
              </w:rPr>
              <w:t>.</w:t>
            </w:r>
            <w:r w:rsidR="00D4137E">
              <w:rPr>
                <w:rFonts w:ascii="Arial" w:hAnsi="Arial" w:cs="Arial"/>
                <w:b/>
                <w:bCs/>
                <w:lang w:val="pl-PL"/>
              </w:rPr>
              <w:t xml:space="preserve"> </w:t>
            </w:r>
            <w:r w:rsidR="00D4137E" w:rsidRPr="00D11125">
              <w:rPr>
                <w:rFonts w:ascii="Arial" w:hAnsi="Arial" w:cs="Arial"/>
                <w:b/>
                <w:bCs/>
                <w:lang w:val="pl-PL"/>
              </w:rPr>
              <w:t xml:space="preserve">  </w:t>
            </w:r>
          </w:p>
        </w:tc>
      </w:tr>
      <w:tr w:rsidR="00721ECD" w:rsidRPr="00064D2A" w14:paraId="594752ED" w14:textId="77777777" w:rsidTr="00064D2A">
        <w:tc>
          <w:tcPr>
            <w:tcW w:w="562" w:type="dxa"/>
          </w:tcPr>
          <w:p w14:paraId="4E7757BF" w14:textId="4C383262" w:rsidR="00721ECD" w:rsidRPr="00064D2A" w:rsidRDefault="00721ECD" w:rsidP="00B56E14">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3.</w:t>
            </w:r>
          </w:p>
        </w:tc>
        <w:tc>
          <w:tcPr>
            <w:tcW w:w="1333" w:type="dxa"/>
          </w:tcPr>
          <w:p w14:paraId="536E0CF5" w14:textId="46346822" w:rsidR="00721ECD" w:rsidRPr="00064D2A" w:rsidRDefault="00721ECD" w:rsidP="00B56E14">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RCL</w:t>
            </w:r>
          </w:p>
        </w:tc>
        <w:tc>
          <w:tcPr>
            <w:tcW w:w="1395" w:type="dxa"/>
          </w:tcPr>
          <w:p w14:paraId="3FF3F349" w14:textId="0C04CD17" w:rsidR="00721ECD" w:rsidRPr="00064D2A" w:rsidRDefault="00721ECD" w:rsidP="0049157F">
            <w:pPr>
              <w:autoSpaceDE w:val="0"/>
              <w:autoSpaceDN w:val="0"/>
              <w:adjustRightInd w:val="0"/>
              <w:jc w:val="both"/>
              <w:rPr>
                <w:rFonts w:ascii="Arial" w:hAnsi="Arial" w:cs="Arial"/>
                <w:b/>
                <w:bCs/>
                <w:lang w:val="pl-PL"/>
              </w:rPr>
            </w:pPr>
            <w:r w:rsidRPr="00064D2A">
              <w:rPr>
                <w:rFonts w:ascii="Arial" w:hAnsi="Arial" w:cs="Arial"/>
                <w:b/>
                <w:bCs/>
                <w:lang w:val="pl-PL"/>
              </w:rPr>
              <w:t xml:space="preserve">Uspójnienie siatki pojęciowej </w:t>
            </w:r>
            <w:r w:rsidRPr="00064D2A">
              <w:rPr>
                <w:rFonts w:ascii="Arial" w:hAnsi="Arial" w:cs="Arial"/>
                <w:b/>
                <w:bCs/>
                <w:lang w:val="pl-PL"/>
              </w:rPr>
              <w:lastRenderedPageBreak/>
              <w:t>w zakresie krajowych zezwoleń generalnych i generalnych unijnych zezwoleń na wywóz</w:t>
            </w:r>
          </w:p>
        </w:tc>
        <w:tc>
          <w:tcPr>
            <w:tcW w:w="3793" w:type="dxa"/>
          </w:tcPr>
          <w:p w14:paraId="7B9A7A4C" w14:textId="7D668FFA" w:rsidR="00721ECD" w:rsidRPr="005F4D75" w:rsidRDefault="00721ECD" w:rsidP="00B56E14">
            <w:pPr>
              <w:jc w:val="both"/>
              <w:rPr>
                <w:rFonts w:ascii="Arial" w:hAnsi="Arial" w:cs="Arial"/>
                <w:lang w:val="pl-PL"/>
              </w:rPr>
            </w:pPr>
            <w:r w:rsidRPr="00064D2A">
              <w:rPr>
                <w:rFonts w:ascii="Arial" w:hAnsi="Arial" w:cs="Arial"/>
                <w:lang w:val="pl-PL"/>
              </w:rPr>
              <w:lastRenderedPageBreak/>
              <w:t>W zakresie nie</w:t>
            </w:r>
            <w:r w:rsidRPr="005F4D75">
              <w:rPr>
                <w:rFonts w:ascii="Arial" w:hAnsi="Arial" w:cs="Arial"/>
                <w:lang w:val="pl-PL"/>
              </w:rPr>
              <w:t>zapewnienia w projektowanych regulacjach spójności siatki pojęciowej stosowanej na</w:t>
            </w:r>
            <w:r w:rsidRPr="00064D2A">
              <w:rPr>
                <w:rFonts w:ascii="Arial" w:hAnsi="Arial" w:cs="Arial"/>
                <w:lang w:val="pl-PL"/>
              </w:rPr>
              <w:t xml:space="preserve"> </w:t>
            </w:r>
            <w:r w:rsidRPr="005F4D75">
              <w:rPr>
                <w:rFonts w:ascii="Arial" w:hAnsi="Arial" w:cs="Arial"/>
                <w:lang w:val="pl-PL"/>
              </w:rPr>
              <w:t xml:space="preserve">gruncie </w:t>
            </w:r>
            <w:r w:rsidRPr="005F4D75">
              <w:rPr>
                <w:rFonts w:ascii="Arial" w:hAnsi="Arial" w:cs="Arial"/>
                <w:lang w:val="pl-PL"/>
              </w:rPr>
              <w:lastRenderedPageBreak/>
              <w:t xml:space="preserve">ustawy w zakresie określenia </w:t>
            </w:r>
            <w:r w:rsidRPr="005F4D75">
              <w:rPr>
                <w:rFonts w:ascii="Arial" w:hAnsi="Arial" w:cs="Arial"/>
                <w:b/>
                <w:bCs/>
                <w:lang w:val="pl-PL"/>
              </w:rPr>
              <w:t xml:space="preserve">generalne unijne </w:t>
            </w:r>
            <w:r w:rsidRPr="005F4D75">
              <w:rPr>
                <w:rFonts w:ascii="Arial" w:hAnsi="Arial" w:cs="Arial"/>
                <w:lang w:val="pl-PL"/>
              </w:rPr>
              <w:t>zezwolenie na wywóz (art. 3 pkt8k ustawy o obrocie) - przykładowo art. 6 ust. 6, art. 25 ust. 2 pkt 7, tytuł rozdziału 4a, czy</w:t>
            </w:r>
            <w:r w:rsidRPr="00064D2A">
              <w:rPr>
                <w:rFonts w:ascii="Arial" w:hAnsi="Arial" w:cs="Arial"/>
                <w:lang w:val="pl-PL"/>
              </w:rPr>
              <w:t xml:space="preserve"> </w:t>
            </w:r>
            <w:r w:rsidRPr="005F4D75">
              <w:rPr>
                <w:rFonts w:ascii="Arial" w:hAnsi="Arial" w:cs="Arial"/>
                <w:lang w:val="pl-PL"/>
              </w:rPr>
              <w:t xml:space="preserve">art. 27f ust. 1 ustawy o obrocie użyto </w:t>
            </w:r>
            <w:r w:rsidRPr="005F4D75">
              <w:rPr>
                <w:rFonts w:ascii="Arial" w:hAnsi="Arial" w:cs="Arial"/>
                <w:b/>
                <w:bCs/>
                <w:lang w:val="pl-PL"/>
              </w:rPr>
              <w:t xml:space="preserve">unijne generalne </w:t>
            </w:r>
            <w:r w:rsidRPr="005F4D75">
              <w:rPr>
                <w:rFonts w:ascii="Arial" w:hAnsi="Arial" w:cs="Arial"/>
                <w:lang w:val="pl-PL"/>
              </w:rPr>
              <w:t>zezwolenie na wywóz (uwaga nr</w:t>
            </w:r>
          </w:p>
          <w:p w14:paraId="5CC4276C" w14:textId="77777777" w:rsidR="00721ECD" w:rsidRPr="00064D2A" w:rsidRDefault="00721ECD" w:rsidP="00B56E14">
            <w:pPr>
              <w:jc w:val="both"/>
              <w:rPr>
                <w:rFonts w:ascii="Arial" w:hAnsi="Arial" w:cs="Arial"/>
                <w:lang w:val="pl-PL"/>
              </w:rPr>
            </w:pPr>
            <w:r w:rsidRPr="005F4D75">
              <w:rPr>
                <w:rFonts w:ascii="Arial" w:hAnsi="Arial" w:cs="Arial"/>
                <w:lang w:val="pl-PL"/>
              </w:rPr>
              <w:t>3 pisma RCL z dnia 30 lipca 2024 r.).</w:t>
            </w:r>
          </w:p>
          <w:p w14:paraId="0CC92106" w14:textId="7B5D79CB" w:rsidR="00721ECD" w:rsidRPr="00064D2A" w:rsidRDefault="00721ECD" w:rsidP="00B56E14">
            <w:pPr>
              <w:jc w:val="both"/>
              <w:rPr>
                <w:rFonts w:ascii="Arial" w:hAnsi="Arial" w:cs="Arial"/>
                <w:b/>
                <w:bCs/>
                <w:lang w:val="pl-PL"/>
              </w:rPr>
            </w:pPr>
          </w:p>
        </w:tc>
        <w:tc>
          <w:tcPr>
            <w:tcW w:w="2693" w:type="dxa"/>
          </w:tcPr>
          <w:p w14:paraId="1B048D11" w14:textId="77777777" w:rsidR="00721ECD" w:rsidRPr="00064D2A" w:rsidRDefault="00721ECD" w:rsidP="00B56E14">
            <w:pPr>
              <w:autoSpaceDE w:val="0"/>
              <w:autoSpaceDN w:val="0"/>
              <w:adjustRightInd w:val="0"/>
              <w:spacing w:line="300" w:lineRule="auto"/>
              <w:jc w:val="both"/>
              <w:rPr>
                <w:rFonts w:ascii="Arial" w:hAnsi="Arial" w:cs="Arial"/>
                <w:b/>
                <w:bCs/>
                <w:lang w:val="pl-PL"/>
              </w:rPr>
            </w:pPr>
          </w:p>
        </w:tc>
        <w:tc>
          <w:tcPr>
            <w:tcW w:w="4111" w:type="dxa"/>
          </w:tcPr>
          <w:p w14:paraId="4313A7B3" w14:textId="77777777" w:rsidR="00721ECD" w:rsidRPr="00064D2A" w:rsidRDefault="00721ECD" w:rsidP="003546E0">
            <w:pPr>
              <w:autoSpaceDE w:val="0"/>
              <w:autoSpaceDN w:val="0"/>
              <w:adjustRightInd w:val="0"/>
              <w:jc w:val="both"/>
              <w:rPr>
                <w:rFonts w:ascii="Arial" w:hAnsi="Arial" w:cs="Arial"/>
                <w:b/>
                <w:bCs/>
                <w:lang w:val="pl-PL"/>
              </w:rPr>
            </w:pPr>
            <w:r w:rsidRPr="00064D2A">
              <w:rPr>
                <w:rFonts w:ascii="Arial" w:hAnsi="Arial" w:cs="Arial"/>
                <w:b/>
                <w:bCs/>
                <w:lang w:val="pl-PL"/>
              </w:rPr>
              <w:t xml:space="preserve">Uwaga uwzględniono – </w:t>
            </w:r>
          </w:p>
          <w:p w14:paraId="21153A1E" w14:textId="77777777" w:rsidR="00721ECD" w:rsidRPr="00064D2A" w:rsidRDefault="00721ECD" w:rsidP="003546E0">
            <w:pPr>
              <w:autoSpaceDE w:val="0"/>
              <w:autoSpaceDN w:val="0"/>
              <w:adjustRightInd w:val="0"/>
              <w:jc w:val="both"/>
              <w:rPr>
                <w:rFonts w:ascii="Arial" w:hAnsi="Arial" w:cs="Arial"/>
                <w:lang w:val="pl-PL"/>
              </w:rPr>
            </w:pPr>
          </w:p>
          <w:p w14:paraId="7BCBECC6" w14:textId="641552C5" w:rsidR="00721ECD" w:rsidRPr="00064D2A" w:rsidRDefault="00721ECD" w:rsidP="003546E0">
            <w:pPr>
              <w:autoSpaceDE w:val="0"/>
              <w:autoSpaceDN w:val="0"/>
              <w:adjustRightInd w:val="0"/>
              <w:jc w:val="both"/>
              <w:rPr>
                <w:rFonts w:ascii="Arial" w:hAnsi="Arial" w:cs="Arial"/>
                <w:b/>
                <w:bCs/>
                <w:lang w:val="pl-PL"/>
              </w:rPr>
            </w:pPr>
            <w:r w:rsidRPr="00064D2A">
              <w:rPr>
                <w:rFonts w:ascii="Arial" w:hAnsi="Arial" w:cs="Arial"/>
                <w:lang w:val="pl-PL"/>
              </w:rPr>
              <w:t>uspójniono pojęcia w całym projekcie.</w:t>
            </w:r>
          </w:p>
        </w:tc>
      </w:tr>
      <w:tr w:rsidR="00721ECD" w:rsidRPr="00064D2A" w14:paraId="0BD2285D" w14:textId="77777777" w:rsidTr="00064D2A">
        <w:tc>
          <w:tcPr>
            <w:tcW w:w="562" w:type="dxa"/>
          </w:tcPr>
          <w:p w14:paraId="26CE9B9D" w14:textId="722C71FC" w:rsidR="00721ECD" w:rsidRPr="00064D2A" w:rsidRDefault="00721ECD" w:rsidP="00B56E14">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4.</w:t>
            </w:r>
          </w:p>
        </w:tc>
        <w:tc>
          <w:tcPr>
            <w:tcW w:w="1333" w:type="dxa"/>
          </w:tcPr>
          <w:p w14:paraId="5F34AB60" w14:textId="384FD502" w:rsidR="00721ECD" w:rsidRPr="00064D2A" w:rsidRDefault="00721ECD" w:rsidP="00B56E14">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RCL</w:t>
            </w:r>
          </w:p>
        </w:tc>
        <w:tc>
          <w:tcPr>
            <w:tcW w:w="1395" w:type="dxa"/>
          </w:tcPr>
          <w:p w14:paraId="029F7DCF" w14:textId="082F3C53" w:rsidR="00721ECD" w:rsidRPr="00064D2A" w:rsidRDefault="00721ECD" w:rsidP="0049157F">
            <w:pPr>
              <w:autoSpaceDE w:val="0"/>
              <w:autoSpaceDN w:val="0"/>
              <w:adjustRightInd w:val="0"/>
              <w:jc w:val="both"/>
              <w:rPr>
                <w:rFonts w:ascii="Arial" w:hAnsi="Arial" w:cs="Arial"/>
                <w:b/>
                <w:bCs/>
                <w:lang w:val="pl-PL"/>
              </w:rPr>
            </w:pPr>
            <w:r w:rsidRPr="00064D2A">
              <w:rPr>
                <w:rFonts w:ascii="Arial" w:hAnsi="Arial" w:cs="Arial"/>
                <w:b/>
                <w:bCs/>
                <w:lang w:val="pl-PL"/>
              </w:rPr>
              <w:t>Art. 1 pkt 7 lit. b) – w odniesieniu do art. 14 ust. 5b ustawy o obrocie z zagranicą</w:t>
            </w:r>
          </w:p>
        </w:tc>
        <w:tc>
          <w:tcPr>
            <w:tcW w:w="3793" w:type="dxa"/>
          </w:tcPr>
          <w:p w14:paraId="3BAA324F" w14:textId="274490D3" w:rsidR="00721ECD" w:rsidRPr="00064D2A" w:rsidRDefault="00721ECD" w:rsidP="00F75A1C">
            <w:pPr>
              <w:jc w:val="both"/>
              <w:rPr>
                <w:rFonts w:ascii="Arial" w:hAnsi="Arial" w:cs="Arial"/>
                <w:lang w:val="pl-PL"/>
              </w:rPr>
            </w:pPr>
            <w:r w:rsidRPr="00064D2A">
              <w:rPr>
                <w:rFonts w:ascii="Arial" w:hAnsi="Arial" w:cs="Arial"/>
                <w:lang w:val="pl-PL"/>
              </w:rPr>
              <w:t>W zakresie w</w:t>
            </w:r>
            <w:r w:rsidRPr="005F4D75">
              <w:rPr>
                <w:rFonts w:ascii="Arial" w:hAnsi="Arial" w:cs="Arial"/>
                <w:lang w:val="pl-PL"/>
              </w:rPr>
              <w:t>prowadzenia dłuższego terminu ważności indywidualnych i globalnych zezwoleń na</w:t>
            </w:r>
            <w:r w:rsidRPr="00064D2A">
              <w:rPr>
                <w:rFonts w:ascii="Arial" w:hAnsi="Arial" w:cs="Arial"/>
                <w:lang w:val="pl-PL"/>
              </w:rPr>
              <w:t xml:space="preserve"> </w:t>
            </w:r>
            <w:r w:rsidRPr="005F4D75">
              <w:rPr>
                <w:rFonts w:ascii="Arial" w:hAnsi="Arial" w:cs="Arial"/>
                <w:lang w:val="pl-PL"/>
              </w:rPr>
              <w:t>wywóz jedynie w przypadku „dużych projektów”, na co wskazuje wyjaśnienie zawarte w</w:t>
            </w:r>
            <w:r w:rsidRPr="00064D2A">
              <w:rPr>
                <w:rFonts w:ascii="Arial" w:hAnsi="Arial" w:cs="Arial"/>
                <w:lang w:val="pl-PL"/>
              </w:rPr>
              <w:t xml:space="preserve"> </w:t>
            </w:r>
            <w:r w:rsidRPr="005F4D75">
              <w:rPr>
                <w:rFonts w:ascii="Arial" w:hAnsi="Arial" w:cs="Arial"/>
                <w:lang w:val="pl-PL"/>
              </w:rPr>
              <w:t xml:space="preserve">uzasadnieniu na str. 8 (uwaga nr 8 pisma RCL z dnia 30 lipca 2024 r.). </w:t>
            </w:r>
          </w:p>
        </w:tc>
        <w:tc>
          <w:tcPr>
            <w:tcW w:w="2693" w:type="dxa"/>
          </w:tcPr>
          <w:p w14:paraId="088ED4B3" w14:textId="77777777" w:rsidR="00721ECD" w:rsidRPr="005F4D75" w:rsidRDefault="00721ECD" w:rsidP="00F75A1C">
            <w:pPr>
              <w:jc w:val="both"/>
              <w:rPr>
                <w:rFonts w:ascii="Arial" w:hAnsi="Arial" w:cs="Arial"/>
                <w:lang w:val="pl-PL"/>
              </w:rPr>
            </w:pPr>
            <w:r w:rsidRPr="005F4D75">
              <w:rPr>
                <w:rFonts w:ascii="Arial" w:hAnsi="Arial" w:cs="Arial"/>
                <w:lang w:val="pl-PL"/>
              </w:rPr>
              <w:t>Zauważyć należy,</w:t>
            </w:r>
            <w:r w:rsidRPr="00064D2A">
              <w:rPr>
                <w:rFonts w:ascii="Arial" w:hAnsi="Arial" w:cs="Arial"/>
                <w:lang w:val="pl-PL"/>
              </w:rPr>
              <w:t xml:space="preserve"> </w:t>
            </w:r>
            <w:r w:rsidRPr="005F4D75">
              <w:rPr>
                <w:rFonts w:ascii="Arial" w:hAnsi="Arial" w:cs="Arial"/>
                <w:lang w:val="pl-PL"/>
              </w:rPr>
              <w:t>że zmieniony art. 14 ust. 5b ustawy o obrocie termin 4 lat odnosi się nie tylko do dużych</w:t>
            </w:r>
            <w:r w:rsidRPr="00064D2A">
              <w:rPr>
                <w:rFonts w:ascii="Arial" w:hAnsi="Arial" w:cs="Arial"/>
                <w:lang w:val="pl-PL"/>
              </w:rPr>
              <w:t xml:space="preserve"> </w:t>
            </w:r>
            <w:r w:rsidRPr="005F4D75">
              <w:rPr>
                <w:rFonts w:ascii="Arial" w:hAnsi="Arial" w:cs="Arial"/>
                <w:lang w:val="pl-PL"/>
              </w:rPr>
              <w:t>projektów ale obejmuje również okres 2 lat dla indywidualnych zezwoleń. Wprowadzone</w:t>
            </w:r>
            <w:r w:rsidRPr="00064D2A">
              <w:rPr>
                <w:rFonts w:ascii="Arial" w:hAnsi="Arial" w:cs="Arial"/>
                <w:lang w:val="pl-PL"/>
              </w:rPr>
              <w:t xml:space="preserve"> </w:t>
            </w:r>
            <w:r w:rsidRPr="005F4D75">
              <w:rPr>
                <w:rFonts w:ascii="Arial" w:hAnsi="Arial" w:cs="Arial"/>
                <w:lang w:val="pl-PL"/>
              </w:rPr>
              <w:t>bowiem odesłanie do art. 12 ust. 3 rozporządzenia 2021/821 obejmuje oba powyższe</w:t>
            </w:r>
            <w:r w:rsidRPr="00064D2A">
              <w:rPr>
                <w:rFonts w:ascii="Arial" w:hAnsi="Arial" w:cs="Arial"/>
                <w:lang w:val="pl-PL"/>
              </w:rPr>
              <w:t xml:space="preserve"> </w:t>
            </w:r>
            <w:r w:rsidRPr="005F4D75">
              <w:rPr>
                <w:rFonts w:ascii="Arial" w:hAnsi="Arial" w:cs="Arial"/>
                <w:lang w:val="pl-PL"/>
              </w:rPr>
              <w:t>okresy, tylko zdanie drugie w tym przepisie dotyczy okresu 4 lat i przypadku „dużych</w:t>
            </w:r>
            <w:r w:rsidRPr="00064D2A">
              <w:rPr>
                <w:rFonts w:ascii="Arial" w:hAnsi="Arial" w:cs="Arial"/>
                <w:lang w:val="pl-PL"/>
              </w:rPr>
              <w:t xml:space="preserve"> </w:t>
            </w:r>
            <w:r w:rsidRPr="005F4D75">
              <w:rPr>
                <w:rFonts w:ascii="Arial" w:hAnsi="Arial" w:cs="Arial"/>
                <w:lang w:val="pl-PL"/>
              </w:rPr>
              <w:t>projektów”.</w:t>
            </w:r>
          </w:p>
          <w:p w14:paraId="0B58DED1" w14:textId="77777777" w:rsidR="00721ECD" w:rsidRPr="00064D2A" w:rsidRDefault="00721ECD" w:rsidP="00B56E14">
            <w:pPr>
              <w:autoSpaceDE w:val="0"/>
              <w:autoSpaceDN w:val="0"/>
              <w:adjustRightInd w:val="0"/>
              <w:spacing w:line="300" w:lineRule="auto"/>
              <w:jc w:val="both"/>
              <w:rPr>
                <w:rFonts w:ascii="Arial" w:hAnsi="Arial" w:cs="Arial"/>
                <w:b/>
                <w:bCs/>
                <w:lang w:val="pl-PL"/>
              </w:rPr>
            </w:pPr>
          </w:p>
        </w:tc>
        <w:tc>
          <w:tcPr>
            <w:tcW w:w="4111" w:type="dxa"/>
          </w:tcPr>
          <w:p w14:paraId="53844B0D" w14:textId="77777777" w:rsidR="00721ECD" w:rsidRPr="00064D2A" w:rsidRDefault="00721ECD" w:rsidP="003546E0">
            <w:pPr>
              <w:autoSpaceDE w:val="0"/>
              <w:autoSpaceDN w:val="0"/>
              <w:adjustRightInd w:val="0"/>
              <w:jc w:val="both"/>
              <w:rPr>
                <w:rFonts w:ascii="Arial" w:hAnsi="Arial" w:cs="Arial"/>
                <w:b/>
                <w:bCs/>
                <w:lang w:val="pl-PL"/>
              </w:rPr>
            </w:pPr>
            <w:r w:rsidRPr="00064D2A">
              <w:rPr>
                <w:rFonts w:ascii="Arial" w:hAnsi="Arial" w:cs="Arial"/>
                <w:b/>
                <w:bCs/>
                <w:lang w:val="pl-PL"/>
              </w:rPr>
              <w:t xml:space="preserve">Uwaga uwzględniona – </w:t>
            </w:r>
          </w:p>
          <w:p w14:paraId="57D144E9" w14:textId="77777777" w:rsidR="00721ECD" w:rsidRPr="00064D2A" w:rsidRDefault="00721ECD" w:rsidP="003546E0">
            <w:pPr>
              <w:autoSpaceDE w:val="0"/>
              <w:autoSpaceDN w:val="0"/>
              <w:adjustRightInd w:val="0"/>
              <w:jc w:val="both"/>
              <w:rPr>
                <w:rFonts w:ascii="Arial" w:hAnsi="Arial" w:cs="Arial"/>
                <w:lang w:val="pl-PL"/>
              </w:rPr>
            </w:pPr>
          </w:p>
          <w:p w14:paraId="2806114B" w14:textId="15401E26" w:rsidR="00721ECD" w:rsidRPr="00064D2A" w:rsidRDefault="00721ECD" w:rsidP="003546E0">
            <w:pPr>
              <w:autoSpaceDE w:val="0"/>
              <w:autoSpaceDN w:val="0"/>
              <w:adjustRightInd w:val="0"/>
              <w:jc w:val="both"/>
              <w:rPr>
                <w:rFonts w:ascii="Arial" w:hAnsi="Arial" w:cs="Arial"/>
                <w:b/>
                <w:bCs/>
                <w:lang w:val="pl-PL"/>
              </w:rPr>
            </w:pPr>
            <w:r w:rsidRPr="00064D2A">
              <w:rPr>
                <w:rFonts w:ascii="Arial" w:hAnsi="Arial" w:cs="Arial"/>
                <w:lang w:val="pl-PL"/>
              </w:rPr>
              <w:t>dopisano zmianę.</w:t>
            </w:r>
          </w:p>
        </w:tc>
      </w:tr>
      <w:tr w:rsidR="00721ECD" w:rsidRPr="00064D2A" w14:paraId="7598AFEA" w14:textId="77777777" w:rsidTr="00064D2A">
        <w:tc>
          <w:tcPr>
            <w:tcW w:w="562" w:type="dxa"/>
          </w:tcPr>
          <w:p w14:paraId="36EFE906" w14:textId="661EE4EF" w:rsidR="00721ECD" w:rsidRPr="00064D2A" w:rsidRDefault="00721ECD" w:rsidP="00F75A1C">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5.</w:t>
            </w:r>
          </w:p>
        </w:tc>
        <w:tc>
          <w:tcPr>
            <w:tcW w:w="1333" w:type="dxa"/>
          </w:tcPr>
          <w:p w14:paraId="2CCB52BD" w14:textId="5E7631BD" w:rsidR="00721ECD" w:rsidRPr="00064D2A" w:rsidRDefault="00721ECD" w:rsidP="00F75A1C">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RCL</w:t>
            </w:r>
          </w:p>
        </w:tc>
        <w:tc>
          <w:tcPr>
            <w:tcW w:w="1395" w:type="dxa"/>
          </w:tcPr>
          <w:p w14:paraId="0F31E20C" w14:textId="3CA44AC1" w:rsidR="00721ECD" w:rsidRPr="00064D2A" w:rsidRDefault="00721ECD" w:rsidP="0049157F">
            <w:pPr>
              <w:autoSpaceDE w:val="0"/>
              <w:autoSpaceDN w:val="0"/>
              <w:adjustRightInd w:val="0"/>
              <w:jc w:val="both"/>
              <w:rPr>
                <w:rFonts w:ascii="Arial" w:hAnsi="Arial" w:cs="Arial"/>
                <w:b/>
                <w:bCs/>
                <w:lang w:val="pl-PL"/>
              </w:rPr>
            </w:pPr>
            <w:r w:rsidRPr="00064D2A">
              <w:rPr>
                <w:rFonts w:ascii="Arial" w:hAnsi="Arial" w:cs="Arial"/>
                <w:b/>
                <w:bCs/>
                <w:lang w:val="pl-PL"/>
              </w:rPr>
              <w:t>Art. 1 pkt 12 lit. c) – w odniesieniu do art. 22 ust. 2 ustawy o obrocie z zagranicą</w:t>
            </w:r>
          </w:p>
        </w:tc>
        <w:tc>
          <w:tcPr>
            <w:tcW w:w="3793" w:type="dxa"/>
          </w:tcPr>
          <w:p w14:paraId="6EC0D0C2" w14:textId="752C8BAF" w:rsidR="00721ECD" w:rsidRPr="00064D2A" w:rsidRDefault="00721ECD" w:rsidP="00C77E26">
            <w:pPr>
              <w:jc w:val="both"/>
              <w:rPr>
                <w:rFonts w:ascii="Arial" w:hAnsi="Arial" w:cs="Arial"/>
                <w:b/>
                <w:bCs/>
                <w:lang w:val="pl-PL"/>
              </w:rPr>
            </w:pPr>
            <w:r w:rsidRPr="00064D2A">
              <w:rPr>
                <w:rFonts w:ascii="Arial" w:hAnsi="Arial" w:cs="Arial"/>
                <w:lang w:val="pl-PL"/>
              </w:rPr>
              <w:t>W zakresie z</w:t>
            </w:r>
            <w:r w:rsidRPr="005F4D75">
              <w:rPr>
                <w:rFonts w:ascii="Arial" w:hAnsi="Arial" w:cs="Arial"/>
                <w:lang w:val="pl-PL"/>
              </w:rPr>
              <w:t>weryfikowania zakresu regulacji art. 9 ustawy o obrocie, która zgodnie ze zmienionym</w:t>
            </w:r>
            <w:r w:rsidRPr="00064D2A">
              <w:rPr>
                <w:rFonts w:ascii="Arial" w:hAnsi="Arial" w:cs="Arial"/>
                <w:lang w:val="pl-PL"/>
              </w:rPr>
              <w:t xml:space="preserve"> </w:t>
            </w:r>
            <w:r w:rsidRPr="005F4D75">
              <w:rPr>
                <w:rFonts w:ascii="Arial" w:hAnsi="Arial" w:cs="Arial"/>
                <w:lang w:val="pl-PL"/>
              </w:rPr>
              <w:t>art. 22 ust. 2 ustawy o obrocie ma mieć zastosowanie odpowiednio do wniosku o wydanie</w:t>
            </w:r>
            <w:r w:rsidRPr="00064D2A">
              <w:rPr>
                <w:rFonts w:ascii="Arial" w:hAnsi="Arial" w:cs="Arial"/>
                <w:lang w:val="pl-PL"/>
              </w:rPr>
              <w:t xml:space="preserve"> </w:t>
            </w:r>
            <w:r w:rsidRPr="005F4D75">
              <w:rPr>
                <w:rFonts w:ascii="Arial" w:hAnsi="Arial" w:cs="Arial"/>
                <w:lang w:val="pl-PL"/>
              </w:rPr>
              <w:t>certyfikatu importowego lub poświadczenia</w:t>
            </w:r>
            <w:r w:rsidRPr="00064D2A">
              <w:rPr>
                <w:rFonts w:ascii="Arial" w:hAnsi="Arial" w:cs="Arial"/>
                <w:lang w:val="pl-PL"/>
              </w:rPr>
              <w:t xml:space="preserve"> </w:t>
            </w:r>
            <w:r w:rsidRPr="005F4D75">
              <w:rPr>
                <w:rFonts w:ascii="Arial" w:hAnsi="Arial" w:cs="Arial"/>
                <w:lang w:val="pl-PL"/>
              </w:rPr>
              <w:t>świadczenia końcowego użytkownika</w:t>
            </w:r>
            <w:r w:rsidRPr="00064D2A">
              <w:rPr>
                <w:rFonts w:ascii="Arial" w:hAnsi="Arial" w:cs="Arial"/>
                <w:lang w:val="pl-PL"/>
              </w:rPr>
              <w:t xml:space="preserve"> </w:t>
            </w:r>
            <w:r w:rsidRPr="005F4D75">
              <w:rPr>
                <w:rFonts w:ascii="Arial" w:hAnsi="Arial" w:cs="Arial"/>
                <w:lang w:val="pl-PL"/>
              </w:rPr>
              <w:t xml:space="preserve">(uwaga nr 12 pisma RCL z dnia 30 lipca 2024 r.). </w:t>
            </w:r>
          </w:p>
          <w:p w14:paraId="07B9A17B" w14:textId="5327ECD9" w:rsidR="00721ECD" w:rsidRPr="00064D2A" w:rsidRDefault="00721ECD" w:rsidP="00F75A1C">
            <w:pPr>
              <w:jc w:val="both"/>
              <w:rPr>
                <w:rFonts w:ascii="Arial" w:hAnsi="Arial" w:cs="Arial"/>
                <w:b/>
                <w:bCs/>
                <w:lang w:val="pl-PL"/>
              </w:rPr>
            </w:pPr>
          </w:p>
        </w:tc>
        <w:tc>
          <w:tcPr>
            <w:tcW w:w="2693" w:type="dxa"/>
          </w:tcPr>
          <w:p w14:paraId="245B65E4" w14:textId="555A1BF9" w:rsidR="00721ECD" w:rsidRPr="005F4D75" w:rsidRDefault="00721ECD" w:rsidP="00F75A1C">
            <w:pPr>
              <w:jc w:val="both"/>
              <w:rPr>
                <w:rFonts w:ascii="Arial" w:hAnsi="Arial" w:cs="Arial"/>
                <w:lang w:val="pl-PL"/>
              </w:rPr>
            </w:pPr>
            <w:r w:rsidRPr="005F4D75">
              <w:rPr>
                <w:rFonts w:ascii="Arial" w:hAnsi="Arial" w:cs="Arial"/>
                <w:lang w:val="pl-PL"/>
              </w:rPr>
              <w:t>Niezależnie od zmienionego odesłania</w:t>
            </w:r>
            <w:r w:rsidRPr="00064D2A">
              <w:rPr>
                <w:rFonts w:ascii="Arial" w:hAnsi="Arial" w:cs="Arial"/>
                <w:lang w:val="pl-PL"/>
              </w:rPr>
              <w:t xml:space="preserve"> </w:t>
            </w:r>
            <w:r w:rsidRPr="005F4D75">
              <w:rPr>
                <w:rFonts w:ascii="Arial" w:hAnsi="Arial" w:cs="Arial"/>
                <w:lang w:val="pl-PL"/>
              </w:rPr>
              <w:t>w art. 22 ust. 2 ustawy o obrocie – pominięte zostało nadal odesłanie w tym przepisie do</w:t>
            </w:r>
            <w:r w:rsidRPr="00064D2A">
              <w:rPr>
                <w:rFonts w:ascii="Arial" w:hAnsi="Arial" w:cs="Arial"/>
                <w:lang w:val="pl-PL"/>
              </w:rPr>
              <w:t xml:space="preserve"> </w:t>
            </w:r>
            <w:r w:rsidRPr="005F4D75">
              <w:rPr>
                <w:rFonts w:ascii="Arial" w:hAnsi="Arial" w:cs="Arial"/>
                <w:lang w:val="pl-PL"/>
              </w:rPr>
              <w:t>art. 9 ust. 7a ustawy o obrocie (</w:t>
            </w:r>
            <w:r w:rsidRPr="005F4D75">
              <w:rPr>
                <w:rFonts w:ascii="Arial" w:hAnsi="Arial" w:cs="Arial"/>
                <w:i/>
                <w:iCs/>
                <w:lang w:val="pl-PL"/>
              </w:rPr>
              <w:t>na inną intencję w tym zakresie wskazuje uzasadnieniu</w:t>
            </w:r>
            <w:r w:rsidRPr="00064D2A">
              <w:rPr>
                <w:rFonts w:ascii="Arial" w:hAnsi="Arial" w:cs="Arial"/>
                <w:i/>
                <w:iCs/>
                <w:lang w:val="pl-PL"/>
              </w:rPr>
              <w:t xml:space="preserve"> </w:t>
            </w:r>
            <w:r w:rsidRPr="005F4D75">
              <w:rPr>
                <w:rFonts w:ascii="Arial" w:hAnsi="Arial" w:cs="Arial"/>
                <w:i/>
                <w:iCs/>
                <w:lang w:val="pl-PL"/>
              </w:rPr>
              <w:t>projektu</w:t>
            </w:r>
            <w:r w:rsidRPr="005F4D75">
              <w:rPr>
                <w:rFonts w:ascii="Arial" w:hAnsi="Arial" w:cs="Arial"/>
                <w:lang w:val="pl-PL"/>
              </w:rPr>
              <w:t>), RCL podtrzymuje ocenę, że z uwagi na bezpośrednie objęcie zakresem</w:t>
            </w:r>
            <w:r w:rsidRPr="00064D2A">
              <w:rPr>
                <w:rFonts w:ascii="Arial" w:hAnsi="Arial" w:cs="Arial"/>
                <w:lang w:val="pl-PL"/>
              </w:rPr>
              <w:t xml:space="preserve"> </w:t>
            </w:r>
            <w:r w:rsidRPr="005F4D75">
              <w:rPr>
                <w:rFonts w:ascii="Arial" w:hAnsi="Arial" w:cs="Arial"/>
                <w:lang w:val="pl-PL"/>
              </w:rPr>
              <w:t xml:space="preserve">upoważnienia ustawowego zawartego w art. 9 ust. 8 pkt </w:t>
            </w:r>
            <w:r w:rsidRPr="005F4D75">
              <w:rPr>
                <w:rFonts w:ascii="Arial" w:hAnsi="Arial" w:cs="Arial"/>
                <w:lang w:val="pl-PL"/>
              </w:rPr>
              <w:lastRenderedPageBreak/>
              <w:t>1 ustawy o obrocie określenia</w:t>
            </w:r>
            <w:r w:rsidRPr="00064D2A">
              <w:rPr>
                <w:rFonts w:ascii="Arial" w:hAnsi="Arial" w:cs="Arial"/>
                <w:lang w:val="pl-PL"/>
              </w:rPr>
              <w:t xml:space="preserve"> </w:t>
            </w:r>
            <w:r w:rsidRPr="005F4D75">
              <w:rPr>
                <w:rFonts w:ascii="Arial" w:hAnsi="Arial" w:cs="Arial"/>
                <w:lang w:val="pl-PL"/>
              </w:rPr>
              <w:t>wzorów wniosków o wydanie takiego certyfikatu i poświadczenia wymagane byłoby</w:t>
            </w:r>
            <w:r w:rsidRPr="00064D2A">
              <w:rPr>
                <w:rFonts w:ascii="Arial" w:hAnsi="Arial" w:cs="Arial"/>
                <w:lang w:val="pl-PL"/>
              </w:rPr>
              <w:t xml:space="preserve"> </w:t>
            </w:r>
            <w:r w:rsidRPr="005F4D75">
              <w:rPr>
                <w:rFonts w:ascii="Arial" w:hAnsi="Arial" w:cs="Arial"/>
                <w:lang w:val="pl-PL"/>
              </w:rPr>
              <w:t>wprowadzenie w art. 22 ustawy o obrocie samodzielnej regulacji analogicznej do zawartej</w:t>
            </w:r>
          </w:p>
          <w:p w14:paraId="7774AB38" w14:textId="6160B058" w:rsidR="00721ECD" w:rsidRPr="00064D2A" w:rsidRDefault="00721ECD" w:rsidP="00F75A1C">
            <w:pPr>
              <w:autoSpaceDE w:val="0"/>
              <w:autoSpaceDN w:val="0"/>
              <w:adjustRightInd w:val="0"/>
              <w:spacing w:line="300" w:lineRule="auto"/>
              <w:jc w:val="both"/>
              <w:rPr>
                <w:rFonts w:ascii="Arial" w:hAnsi="Arial" w:cs="Arial"/>
                <w:b/>
                <w:bCs/>
                <w:lang w:val="pl-PL"/>
              </w:rPr>
            </w:pPr>
            <w:r w:rsidRPr="005F4D75">
              <w:rPr>
                <w:rFonts w:ascii="Arial" w:hAnsi="Arial" w:cs="Arial"/>
                <w:lang w:val="pl-PL"/>
              </w:rPr>
              <w:t>w art. 9 ust. 7b ustawy o obrocie.</w:t>
            </w:r>
          </w:p>
        </w:tc>
        <w:tc>
          <w:tcPr>
            <w:tcW w:w="4111" w:type="dxa"/>
          </w:tcPr>
          <w:p w14:paraId="4F711564" w14:textId="77777777" w:rsidR="00721ECD" w:rsidRPr="00064D2A" w:rsidRDefault="00721ECD" w:rsidP="003546E0">
            <w:pPr>
              <w:autoSpaceDE w:val="0"/>
              <w:autoSpaceDN w:val="0"/>
              <w:adjustRightInd w:val="0"/>
              <w:jc w:val="both"/>
              <w:rPr>
                <w:rFonts w:ascii="Arial" w:hAnsi="Arial" w:cs="Arial"/>
                <w:b/>
                <w:bCs/>
                <w:lang w:val="pl-PL"/>
              </w:rPr>
            </w:pPr>
            <w:r w:rsidRPr="00064D2A">
              <w:rPr>
                <w:rFonts w:ascii="Arial" w:hAnsi="Arial" w:cs="Arial"/>
                <w:b/>
                <w:bCs/>
                <w:lang w:val="pl-PL"/>
              </w:rPr>
              <w:lastRenderedPageBreak/>
              <w:t>Uwaga uwzględniona –</w:t>
            </w:r>
          </w:p>
          <w:p w14:paraId="1BAC1067" w14:textId="77777777" w:rsidR="00721ECD" w:rsidRPr="00064D2A" w:rsidRDefault="00721ECD" w:rsidP="003546E0">
            <w:pPr>
              <w:autoSpaceDE w:val="0"/>
              <w:autoSpaceDN w:val="0"/>
              <w:adjustRightInd w:val="0"/>
              <w:jc w:val="both"/>
              <w:rPr>
                <w:rFonts w:ascii="Arial" w:hAnsi="Arial" w:cs="Arial"/>
                <w:b/>
                <w:bCs/>
                <w:lang w:val="pl-PL"/>
              </w:rPr>
            </w:pPr>
          </w:p>
          <w:p w14:paraId="20C6618A" w14:textId="404E6CAD" w:rsidR="00721ECD" w:rsidRPr="00064D2A" w:rsidRDefault="00721ECD" w:rsidP="003546E0">
            <w:pPr>
              <w:autoSpaceDE w:val="0"/>
              <w:autoSpaceDN w:val="0"/>
              <w:adjustRightInd w:val="0"/>
              <w:jc w:val="both"/>
              <w:rPr>
                <w:rFonts w:ascii="Arial" w:hAnsi="Arial" w:cs="Arial"/>
                <w:b/>
                <w:bCs/>
                <w:lang w:val="pl-PL"/>
              </w:rPr>
            </w:pPr>
            <w:r w:rsidRPr="00064D2A">
              <w:rPr>
                <w:rFonts w:ascii="Arial" w:hAnsi="Arial" w:cs="Arial"/>
                <w:b/>
                <w:bCs/>
                <w:lang w:val="pl-PL"/>
              </w:rPr>
              <w:t xml:space="preserve"> </w:t>
            </w:r>
            <w:r w:rsidRPr="00064D2A">
              <w:rPr>
                <w:rFonts w:ascii="Arial" w:hAnsi="Arial" w:cs="Arial"/>
                <w:lang w:val="pl-PL"/>
              </w:rPr>
              <w:t>nadano nowe brzmienie ust. 2 – bez odnoszenia jakie przepisy stosuje się odpowiednio, ponieważ dla tych dwóch dokumentów wymagane są inne informacje  do wniosku, ale z zachowaniem adekwatnych forma składania wniosków, tak jak przy wnioskach o wydanie zezwolenia ( analogiczne do brzmienia art. 9 ust 7a i 7b).</w:t>
            </w:r>
          </w:p>
        </w:tc>
      </w:tr>
      <w:tr w:rsidR="00721ECD" w:rsidRPr="00064D2A" w14:paraId="0022DCE3" w14:textId="77777777" w:rsidTr="00064D2A">
        <w:tc>
          <w:tcPr>
            <w:tcW w:w="562" w:type="dxa"/>
          </w:tcPr>
          <w:p w14:paraId="797AF6F9" w14:textId="3C851163" w:rsidR="00721ECD" w:rsidRPr="00064D2A" w:rsidRDefault="00721ECD" w:rsidP="00F75A1C">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6.</w:t>
            </w:r>
          </w:p>
        </w:tc>
        <w:tc>
          <w:tcPr>
            <w:tcW w:w="1333" w:type="dxa"/>
          </w:tcPr>
          <w:p w14:paraId="7D619D1F" w14:textId="72C66D9B" w:rsidR="00721ECD" w:rsidRPr="00064D2A" w:rsidRDefault="00721ECD" w:rsidP="00F75A1C">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RCL</w:t>
            </w:r>
          </w:p>
        </w:tc>
        <w:tc>
          <w:tcPr>
            <w:tcW w:w="1395" w:type="dxa"/>
          </w:tcPr>
          <w:p w14:paraId="24D5B968" w14:textId="3729C916" w:rsidR="00721ECD" w:rsidRPr="00064D2A" w:rsidRDefault="00721ECD" w:rsidP="0049157F">
            <w:pPr>
              <w:autoSpaceDE w:val="0"/>
              <w:autoSpaceDN w:val="0"/>
              <w:adjustRightInd w:val="0"/>
              <w:jc w:val="both"/>
              <w:rPr>
                <w:rFonts w:ascii="Arial" w:hAnsi="Arial" w:cs="Arial"/>
                <w:b/>
                <w:bCs/>
                <w:lang w:val="pl-PL"/>
              </w:rPr>
            </w:pPr>
            <w:r w:rsidRPr="00064D2A">
              <w:rPr>
                <w:rFonts w:ascii="Arial" w:hAnsi="Arial" w:cs="Arial"/>
                <w:b/>
                <w:bCs/>
                <w:lang w:val="pl-PL"/>
              </w:rPr>
              <w:t>Art. 1 pkt 14 lit. a) – w odniesieniu do art. 25 ust. 1b ustawy o obrocie z zagranicą</w:t>
            </w:r>
          </w:p>
        </w:tc>
        <w:tc>
          <w:tcPr>
            <w:tcW w:w="3793" w:type="dxa"/>
          </w:tcPr>
          <w:p w14:paraId="7D3120AF" w14:textId="00D3D3BE" w:rsidR="00721ECD" w:rsidRPr="00064D2A" w:rsidRDefault="00721ECD" w:rsidP="00F75A1C">
            <w:pPr>
              <w:jc w:val="both"/>
              <w:rPr>
                <w:rFonts w:ascii="Arial" w:hAnsi="Arial" w:cs="Arial"/>
                <w:lang w:val="pl-PL"/>
              </w:rPr>
            </w:pPr>
            <w:r w:rsidRPr="00064D2A">
              <w:rPr>
                <w:rFonts w:ascii="Arial" w:hAnsi="Arial" w:cs="Arial"/>
                <w:lang w:val="pl-PL"/>
              </w:rPr>
              <w:t>W zakresie p</w:t>
            </w:r>
            <w:r w:rsidRPr="005F4D75">
              <w:rPr>
                <w:rFonts w:ascii="Arial" w:hAnsi="Arial" w:cs="Arial"/>
                <w:lang w:val="pl-PL"/>
              </w:rPr>
              <w:t>rzedmiotu regulacji art. 25 ust. 1b ustawy o obrocie w odniesieniu do składania wniosku</w:t>
            </w:r>
            <w:r w:rsidRPr="00064D2A">
              <w:rPr>
                <w:rFonts w:ascii="Arial" w:hAnsi="Arial" w:cs="Arial"/>
                <w:lang w:val="pl-PL"/>
              </w:rPr>
              <w:t xml:space="preserve"> </w:t>
            </w:r>
            <w:r w:rsidRPr="005F4D75">
              <w:rPr>
                <w:rFonts w:ascii="Arial" w:hAnsi="Arial" w:cs="Arial"/>
                <w:lang w:val="pl-PL"/>
              </w:rPr>
              <w:t>o do danych i informacji zawartych w rejestrze (uwaga nr 13 lit. a pisma RCL z</w:t>
            </w:r>
            <w:r w:rsidRPr="00064D2A">
              <w:rPr>
                <w:rFonts w:ascii="Arial" w:hAnsi="Arial" w:cs="Arial"/>
                <w:lang w:val="pl-PL"/>
              </w:rPr>
              <w:t xml:space="preserve"> </w:t>
            </w:r>
            <w:r w:rsidRPr="005F4D75">
              <w:rPr>
                <w:rFonts w:ascii="Arial" w:hAnsi="Arial" w:cs="Arial"/>
                <w:lang w:val="pl-PL"/>
              </w:rPr>
              <w:t>dnia 30 lipca 2024 r.) przez podmiot prowadzący ewidencję w systemie</w:t>
            </w:r>
            <w:r w:rsidRPr="00064D2A">
              <w:rPr>
                <w:rFonts w:ascii="Arial" w:hAnsi="Arial" w:cs="Arial"/>
                <w:lang w:val="pl-PL"/>
              </w:rPr>
              <w:t xml:space="preserve"> t</w:t>
            </w:r>
            <w:r w:rsidRPr="005F4D75">
              <w:rPr>
                <w:rFonts w:ascii="Arial" w:hAnsi="Arial" w:cs="Arial"/>
                <w:lang w:val="pl-PL"/>
              </w:rPr>
              <w:t xml:space="preserve">eleinformatycznym, o którym mowa w art. 27d ustawy o obrocie. </w:t>
            </w:r>
          </w:p>
          <w:p w14:paraId="3C88283A" w14:textId="77777777" w:rsidR="00721ECD" w:rsidRPr="00064D2A" w:rsidRDefault="00721ECD" w:rsidP="00F75A1C">
            <w:pPr>
              <w:jc w:val="both"/>
              <w:rPr>
                <w:rFonts w:ascii="Arial" w:hAnsi="Arial" w:cs="Arial"/>
                <w:lang w:val="pl-PL"/>
              </w:rPr>
            </w:pPr>
          </w:p>
          <w:p w14:paraId="36368A19" w14:textId="51EFA4DF" w:rsidR="00721ECD" w:rsidRPr="00064D2A" w:rsidRDefault="00721ECD" w:rsidP="00C77E26">
            <w:pPr>
              <w:jc w:val="both"/>
              <w:rPr>
                <w:rFonts w:ascii="Arial" w:hAnsi="Arial" w:cs="Arial"/>
                <w:b/>
                <w:bCs/>
                <w:lang w:val="pl-PL"/>
              </w:rPr>
            </w:pPr>
          </w:p>
        </w:tc>
        <w:tc>
          <w:tcPr>
            <w:tcW w:w="2693" w:type="dxa"/>
          </w:tcPr>
          <w:p w14:paraId="419D38CA" w14:textId="0E246B1D" w:rsidR="00721ECD" w:rsidRPr="005F4D75" w:rsidRDefault="00721ECD" w:rsidP="00C77E26">
            <w:pPr>
              <w:jc w:val="both"/>
              <w:rPr>
                <w:rFonts w:ascii="Arial" w:hAnsi="Arial" w:cs="Arial"/>
                <w:lang w:val="pl-PL"/>
              </w:rPr>
            </w:pPr>
            <w:r w:rsidRPr="005F4D75">
              <w:rPr>
                <w:rFonts w:ascii="Arial" w:hAnsi="Arial" w:cs="Arial"/>
                <w:lang w:val="pl-PL"/>
              </w:rPr>
              <w:t>Wniosek ten jest już</w:t>
            </w:r>
            <w:r w:rsidRPr="00064D2A">
              <w:rPr>
                <w:rFonts w:ascii="Arial" w:hAnsi="Arial" w:cs="Arial"/>
                <w:lang w:val="pl-PL"/>
              </w:rPr>
              <w:t xml:space="preserve"> </w:t>
            </w:r>
            <w:r w:rsidRPr="005F4D75">
              <w:rPr>
                <w:rFonts w:ascii="Arial" w:hAnsi="Arial" w:cs="Arial"/>
                <w:lang w:val="pl-PL"/>
              </w:rPr>
              <w:t>uwzględniony w zakresie regulacji art. 27f ustawy o obrocie. Zgodnie zaś z wyjaśnieniem</w:t>
            </w:r>
            <w:r w:rsidRPr="00064D2A">
              <w:rPr>
                <w:rFonts w:ascii="Arial" w:hAnsi="Arial" w:cs="Arial"/>
                <w:lang w:val="pl-PL"/>
              </w:rPr>
              <w:t xml:space="preserve"> </w:t>
            </w:r>
            <w:r w:rsidRPr="005F4D75">
              <w:rPr>
                <w:rFonts w:ascii="Arial" w:hAnsi="Arial" w:cs="Arial"/>
                <w:lang w:val="pl-PL"/>
              </w:rPr>
              <w:t>przedstawionym w uzasadnieniu projektu, aby korzystać z możliwości prowadzenia</w:t>
            </w:r>
            <w:r w:rsidRPr="00064D2A">
              <w:rPr>
                <w:rFonts w:ascii="Arial" w:hAnsi="Arial" w:cs="Arial"/>
                <w:lang w:val="pl-PL"/>
              </w:rPr>
              <w:t xml:space="preserve"> </w:t>
            </w:r>
            <w:r w:rsidRPr="005F4D75">
              <w:rPr>
                <w:rFonts w:ascii="Arial" w:hAnsi="Arial" w:cs="Arial"/>
                <w:lang w:val="pl-PL"/>
              </w:rPr>
              <w:t>ewidencji w tym systemie, podmiot musi wcześniej uzyskać do niego dostęp (str. 11).</w:t>
            </w:r>
          </w:p>
          <w:p w14:paraId="504B2FA2" w14:textId="2492683A" w:rsidR="00721ECD" w:rsidRPr="005F4D75" w:rsidRDefault="00721ECD" w:rsidP="00C77E26">
            <w:pPr>
              <w:jc w:val="both"/>
              <w:rPr>
                <w:rFonts w:ascii="Arial" w:hAnsi="Arial" w:cs="Arial"/>
                <w:lang w:val="pl-PL"/>
              </w:rPr>
            </w:pPr>
            <w:r w:rsidRPr="005F4D75">
              <w:rPr>
                <w:rFonts w:ascii="Arial" w:hAnsi="Arial" w:cs="Arial"/>
                <w:lang w:val="pl-PL"/>
              </w:rPr>
              <w:t>Jednakże projektowany art. 25 ust. 1b ustawy o obrocie nie reguluje tej kwestii zgodnie z</w:t>
            </w:r>
            <w:r w:rsidRPr="00064D2A">
              <w:rPr>
                <w:rFonts w:ascii="Arial" w:hAnsi="Arial" w:cs="Arial"/>
                <w:lang w:val="pl-PL"/>
              </w:rPr>
              <w:t xml:space="preserve"> </w:t>
            </w:r>
            <w:r w:rsidRPr="005F4D75">
              <w:rPr>
                <w:rFonts w:ascii="Arial" w:hAnsi="Arial" w:cs="Arial"/>
                <w:lang w:val="pl-PL"/>
              </w:rPr>
              <w:t>tym wyjaśnieniem. Nie jest zatem jasne, czy sam fakt posiadania dostępu do systemu</w:t>
            </w:r>
            <w:r w:rsidRPr="00064D2A">
              <w:rPr>
                <w:rFonts w:ascii="Arial" w:hAnsi="Arial" w:cs="Arial"/>
                <w:lang w:val="pl-PL"/>
              </w:rPr>
              <w:t xml:space="preserve"> </w:t>
            </w:r>
            <w:r w:rsidRPr="005F4D75">
              <w:rPr>
                <w:rFonts w:ascii="Arial" w:hAnsi="Arial" w:cs="Arial"/>
                <w:lang w:val="pl-PL"/>
              </w:rPr>
              <w:t>umożliwia prowadzenie w nim ewidencji, czy też konieczny jest dodatkowy wniosek o</w:t>
            </w:r>
            <w:r w:rsidRPr="00064D2A">
              <w:rPr>
                <w:rFonts w:ascii="Arial" w:hAnsi="Arial" w:cs="Arial"/>
                <w:lang w:val="pl-PL"/>
              </w:rPr>
              <w:t xml:space="preserve"> </w:t>
            </w:r>
            <w:r w:rsidRPr="005F4D75">
              <w:rPr>
                <w:rFonts w:ascii="Arial" w:hAnsi="Arial" w:cs="Arial"/>
                <w:lang w:val="pl-PL"/>
              </w:rPr>
              <w:t>dostęp do dodatkowej funkcjonalności tego systemu polegającej na prowadzeniu w tym w</w:t>
            </w:r>
            <w:r w:rsidRPr="00064D2A">
              <w:rPr>
                <w:rFonts w:ascii="Arial" w:hAnsi="Arial" w:cs="Arial"/>
                <w:lang w:val="pl-PL"/>
              </w:rPr>
              <w:t xml:space="preserve"> </w:t>
            </w:r>
            <w:r w:rsidRPr="005F4D75">
              <w:rPr>
                <w:rFonts w:ascii="Arial" w:hAnsi="Arial" w:cs="Arial"/>
                <w:lang w:val="pl-PL"/>
              </w:rPr>
              <w:t xml:space="preserve">systemie ewidencji (nie zaś </w:t>
            </w:r>
            <w:r w:rsidRPr="005F4D75">
              <w:rPr>
                <w:rFonts w:ascii="Arial" w:hAnsi="Arial" w:cs="Arial"/>
                <w:lang w:val="pl-PL"/>
              </w:rPr>
              <w:lastRenderedPageBreak/>
              <w:t>wniosek o dostęp do samego systemu).</w:t>
            </w:r>
          </w:p>
          <w:p w14:paraId="655CA737" w14:textId="77777777" w:rsidR="00721ECD" w:rsidRPr="00064D2A" w:rsidRDefault="00721ECD" w:rsidP="00F75A1C">
            <w:pPr>
              <w:autoSpaceDE w:val="0"/>
              <w:autoSpaceDN w:val="0"/>
              <w:adjustRightInd w:val="0"/>
              <w:spacing w:line="300" w:lineRule="auto"/>
              <w:jc w:val="both"/>
              <w:rPr>
                <w:rFonts w:ascii="Arial" w:hAnsi="Arial" w:cs="Arial"/>
                <w:b/>
                <w:bCs/>
                <w:lang w:val="pl-PL"/>
              </w:rPr>
            </w:pPr>
          </w:p>
        </w:tc>
        <w:tc>
          <w:tcPr>
            <w:tcW w:w="4111" w:type="dxa"/>
          </w:tcPr>
          <w:p w14:paraId="3709D384" w14:textId="77777777" w:rsidR="00721ECD" w:rsidRPr="00064D2A" w:rsidRDefault="00721ECD" w:rsidP="003546E0">
            <w:pPr>
              <w:autoSpaceDE w:val="0"/>
              <w:autoSpaceDN w:val="0"/>
              <w:adjustRightInd w:val="0"/>
              <w:jc w:val="both"/>
              <w:rPr>
                <w:rFonts w:ascii="Arial" w:hAnsi="Arial" w:cs="Arial"/>
                <w:lang w:val="pl-PL"/>
              </w:rPr>
            </w:pPr>
            <w:r w:rsidRPr="00064D2A">
              <w:rPr>
                <w:rFonts w:ascii="Arial" w:hAnsi="Arial" w:cs="Arial"/>
                <w:b/>
                <w:bCs/>
                <w:lang w:val="pl-PL"/>
              </w:rPr>
              <w:lastRenderedPageBreak/>
              <w:t>Uwaga uwzględniona</w:t>
            </w:r>
            <w:r w:rsidRPr="00064D2A">
              <w:rPr>
                <w:rFonts w:ascii="Arial" w:hAnsi="Arial" w:cs="Arial"/>
                <w:lang w:val="pl-PL"/>
              </w:rPr>
              <w:t xml:space="preserve"> </w:t>
            </w:r>
            <w:r w:rsidRPr="00064D2A">
              <w:rPr>
                <w:rFonts w:ascii="Arial" w:hAnsi="Arial" w:cs="Arial"/>
                <w:b/>
                <w:bCs/>
                <w:lang w:val="pl-PL"/>
              </w:rPr>
              <w:t>częściowo</w:t>
            </w:r>
            <w:r w:rsidRPr="00064D2A">
              <w:rPr>
                <w:rFonts w:ascii="Arial" w:hAnsi="Arial" w:cs="Arial"/>
                <w:lang w:val="pl-PL"/>
              </w:rPr>
              <w:t xml:space="preserve">  - </w:t>
            </w:r>
          </w:p>
          <w:p w14:paraId="30138052" w14:textId="77777777" w:rsidR="00721ECD" w:rsidRPr="00064D2A" w:rsidRDefault="00721ECD" w:rsidP="003546E0">
            <w:pPr>
              <w:autoSpaceDE w:val="0"/>
              <w:autoSpaceDN w:val="0"/>
              <w:adjustRightInd w:val="0"/>
              <w:jc w:val="both"/>
              <w:rPr>
                <w:rFonts w:ascii="Arial" w:hAnsi="Arial" w:cs="Arial"/>
                <w:lang w:val="pl-PL"/>
              </w:rPr>
            </w:pPr>
          </w:p>
          <w:p w14:paraId="2960C2EE" w14:textId="0F043936" w:rsidR="00721ECD" w:rsidRPr="00064D2A" w:rsidRDefault="00721ECD" w:rsidP="003546E0">
            <w:pPr>
              <w:autoSpaceDE w:val="0"/>
              <w:autoSpaceDN w:val="0"/>
              <w:adjustRightInd w:val="0"/>
              <w:jc w:val="both"/>
              <w:rPr>
                <w:rFonts w:ascii="Arial" w:hAnsi="Arial" w:cs="Arial"/>
                <w:lang w:val="pl-PL"/>
              </w:rPr>
            </w:pPr>
            <w:r w:rsidRPr="00064D2A">
              <w:rPr>
                <w:rFonts w:ascii="Arial" w:hAnsi="Arial" w:cs="Arial"/>
                <w:lang w:val="pl-PL"/>
              </w:rPr>
              <w:t>poprzez doprecyzowanie w przepisie, że chodzi o wniosek dla podmiotów zamierzających korzystać z możliwości prowadzenia swojej ewidencji w ramach rejestru organu. W naszej ocenie powołane przez RCL przepisy są spójne i nie wymagają zmiany w większym zakresie. Wyjaśniamy, że dostęp dla podmiotu do rejestru prowadzonego przez organ na podstawie art. 27f to jest co innego, niż wola (i wniosek) tego podmiotu prowadzenia obowiązkowej ewidencji przez ten podmiot w za pośrednictwem tego rejestru (tu musi być oddzielny wniosek dostępu do rejestru w celu prowadzenia ewidencji, którą oprócz tej proponowanej fakultatywnie formy, podmiot będzie mógł prowadzić u siebie - papierowo, albo elektronicznie, ale bez pośrednictwa rejestru organu, tylko na własnych nośnikach i systemach elektronicznych. Dlatego przepisy w art. 25 ust. 1b regulują inny dostęp (dostęp do ewidencji może tu być zupełnie inna osoba upoważniona) niż dostęp tylko do rejestru z art. 27f  (bez zakładania w nim ewidencji).</w:t>
            </w:r>
          </w:p>
        </w:tc>
      </w:tr>
      <w:tr w:rsidR="00721ECD" w:rsidRPr="00064D2A" w14:paraId="213C7F0F" w14:textId="77777777" w:rsidTr="00064D2A">
        <w:tc>
          <w:tcPr>
            <w:tcW w:w="562" w:type="dxa"/>
          </w:tcPr>
          <w:p w14:paraId="54809B53" w14:textId="0062963D" w:rsidR="00721ECD" w:rsidRPr="00064D2A" w:rsidRDefault="00721ECD" w:rsidP="00F75A1C">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7.</w:t>
            </w:r>
          </w:p>
        </w:tc>
        <w:tc>
          <w:tcPr>
            <w:tcW w:w="1333" w:type="dxa"/>
          </w:tcPr>
          <w:p w14:paraId="64D39518" w14:textId="4710C683" w:rsidR="00721ECD" w:rsidRPr="00064D2A" w:rsidRDefault="00721ECD" w:rsidP="00F75A1C">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RCL</w:t>
            </w:r>
          </w:p>
        </w:tc>
        <w:tc>
          <w:tcPr>
            <w:tcW w:w="1395" w:type="dxa"/>
          </w:tcPr>
          <w:p w14:paraId="240BAF0F" w14:textId="010DD4DA" w:rsidR="00721ECD" w:rsidRPr="00064D2A" w:rsidRDefault="00721ECD" w:rsidP="0049157F">
            <w:pPr>
              <w:autoSpaceDE w:val="0"/>
              <w:autoSpaceDN w:val="0"/>
              <w:adjustRightInd w:val="0"/>
              <w:jc w:val="both"/>
              <w:rPr>
                <w:rFonts w:ascii="Arial" w:hAnsi="Arial" w:cs="Arial"/>
                <w:b/>
                <w:bCs/>
                <w:lang w:val="pl-PL"/>
              </w:rPr>
            </w:pPr>
            <w:r w:rsidRPr="00064D2A">
              <w:rPr>
                <w:rFonts w:ascii="Arial" w:hAnsi="Arial" w:cs="Arial"/>
                <w:b/>
                <w:bCs/>
                <w:lang w:val="pl-PL"/>
              </w:rPr>
              <w:t>Art. 1 pkt 16 (po zmianie pkt projektu będzie to pkt 18)  - w odniesieniu do art. 27d ust. 2 ustawy o obrocie z zagranicą</w:t>
            </w:r>
          </w:p>
        </w:tc>
        <w:tc>
          <w:tcPr>
            <w:tcW w:w="3793" w:type="dxa"/>
          </w:tcPr>
          <w:p w14:paraId="18FBDC73" w14:textId="0AEC0072" w:rsidR="00721ECD" w:rsidRPr="00064D2A" w:rsidRDefault="00721ECD" w:rsidP="00070545">
            <w:pPr>
              <w:jc w:val="both"/>
              <w:rPr>
                <w:rFonts w:ascii="Arial" w:hAnsi="Arial" w:cs="Arial"/>
                <w:b/>
                <w:bCs/>
                <w:lang w:val="pl-PL"/>
              </w:rPr>
            </w:pPr>
            <w:r w:rsidRPr="005F4D75">
              <w:rPr>
                <w:rFonts w:ascii="Arial" w:hAnsi="Arial" w:cs="Arial"/>
                <w:lang w:val="pl-PL"/>
              </w:rPr>
              <w:t>Zweryfikowania spójności zakresu danych wpisanych do rejestru określonych w art. 27d</w:t>
            </w:r>
            <w:r w:rsidRPr="00064D2A">
              <w:rPr>
                <w:rFonts w:ascii="Arial" w:hAnsi="Arial" w:cs="Arial"/>
                <w:lang w:val="pl-PL"/>
              </w:rPr>
              <w:t xml:space="preserve"> </w:t>
            </w:r>
            <w:r w:rsidRPr="005F4D75">
              <w:rPr>
                <w:rFonts w:ascii="Arial" w:hAnsi="Arial" w:cs="Arial"/>
                <w:lang w:val="pl-PL"/>
              </w:rPr>
              <w:t>ust. 2 ustawy o obrocie z zakresem danych przekazywanych z godnie z art. 9 tej ustawy we</w:t>
            </w:r>
            <w:r w:rsidRPr="00064D2A">
              <w:rPr>
                <w:rFonts w:ascii="Arial" w:hAnsi="Arial" w:cs="Arial"/>
                <w:lang w:val="pl-PL"/>
              </w:rPr>
              <w:t xml:space="preserve"> </w:t>
            </w:r>
            <w:r w:rsidRPr="005F4D75">
              <w:rPr>
                <w:rFonts w:ascii="Arial" w:hAnsi="Arial" w:cs="Arial"/>
                <w:lang w:val="pl-PL"/>
              </w:rPr>
              <w:t>wniosku o wydanie zezwolenia indywidualnego lub zezwolenia globalnego (uwaga nr 15</w:t>
            </w:r>
            <w:r w:rsidRPr="00064D2A">
              <w:rPr>
                <w:rFonts w:ascii="Arial" w:hAnsi="Arial" w:cs="Arial"/>
                <w:lang w:val="pl-PL"/>
              </w:rPr>
              <w:t xml:space="preserve"> </w:t>
            </w:r>
            <w:r w:rsidRPr="005F4D75">
              <w:rPr>
                <w:rFonts w:ascii="Arial" w:hAnsi="Arial" w:cs="Arial"/>
                <w:lang w:val="pl-PL"/>
              </w:rPr>
              <w:t xml:space="preserve">pism RCL z dnia 30 lipca 2024 r.). </w:t>
            </w:r>
          </w:p>
          <w:p w14:paraId="6F479728" w14:textId="4411AE97" w:rsidR="00721ECD" w:rsidRPr="00064D2A" w:rsidRDefault="00721ECD" w:rsidP="00C77E26">
            <w:pPr>
              <w:autoSpaceDE w:val="0"/>
              <w:autoSpaceDN w:val="0"/>
              <w:adjustRightInd w:val="0"/>
              <w:spacing w:line="300" w:lineRule="auto"/>
              <w:jc w:val="both"/>
              <w:rPr>
                <w:rFonts w:ascii="Arial" w:hAnsi="Arial" w:cs="Arial"/>
                <w:b/>
                <w:bCs/>
                <w:lang w:val="pl-PL"/>
              </w:rPr>
            </w:pPr>
          </w:p>
        </w:tc>
        <w:tc>
          <w:tcPr>
            <w:tcW w:w="2693" w:type="dxa"/>
          </w:tcPr>
          <w:p w14:paraId="1164ED6D" w14:textId="77777777" w:rsidR="00721ECD" w:rsidRPr="005F4D75" w:rsidRDefault="00721ECD" w:rsidP="00070545">
            <w:pPr>
              <w:jc w:val="both"/>
              <w:rPr>
                <w:rFonts w:ascii="Arial" w:hAnsi="Arial" w:cs="Arial"/>
                <w:lang w:val="pl-PL"/>
              </w:rPr>
            </w:pPr>
            <w:r w:rsidRPr="005F4D75">
              <w:rPr>
                <w:rFonts w:ascii="Arial" w:hAnsi="Arial" w:cs="Arial"/>
                <w:lang w:val="pl-PL"/>
              </w:rPr>
              <w:t>Uzasadnienie projektu odnoszące się do ww. przepisu</w:t>
            </w:r>
            <w:r w:rsidRPr="00064D2A">
              <w:rPr>
                <w:rFonts w:ascii="Arial" w:hAnsi="Arial" w:cs="Arial"/>
                <w:lang w:val="pl-PL"/>
              </w:rPr>
              <w:t xml:space="preserve"> </w:t>
            </w:r>
            <w:r w:rsidRPr="005F4D75">
              <w:rPr>
                <w:rFonts w:ascii="Arial" w:hAnsi="Arial" w:cs="Arial"/>
                <w:lang w:val="pl-PL"/>
              </w:rPr>
              <w:t>nie uwzględnia wskazanej przykładowo ww. piśmie informacji o „walucie, w jakiej</w:t>
            </w:r>
            <w:r w:rsidRPr="00064D2A">
              <w:rPr>
                <w:rFonts w:ascii="Arial" w:hAnsi="Arial" w:cs="Arial"/>
                <w:lang w:val="pl-PL"/>
              </w:rPr>
              <w:t xml:space="preserve"> </w:t>
            </w:r>
            <w:r w:rsidRPr="005F4D75">
              <w:rPr>
                <w:rFonts w:ascii="Arial" w:hAnsi="Arial" w:cs="Arial"/>
                <w:lang w:val="pl-PL"/>
              </w:rPr>
              <w:t>dokonano transakcji”, która ma być jedną z danych wpisywanych, na podstawie</w:t>
            </w:r>
          </w:p>
          <w:p w14:paraId="287EC907" w14:textId="67F52ECF" w:rsidR="00721ECD" w:rsidRPr="00064D2A" w:rsidRDefault="00721ECD" w:rsidP="00070545">
            <w:pPr>
              <w:autoSpaceDE w:val="0"/>
              <w:autoSpaceDN w:val="0"/>
              <w:adjustRightInd w:val="0"/>
              <w:spacing w:line="300" w:lineRule="auto"/>
              <w:jc w:val="both"/>
              <w:rPr>
                <w:rFonts w:ascii="Arial" w:hAnsi="Arial" w:cs="Arial"/>
                <w:b/>
                <w:bCs/>
                <w:lang w:val="pl-PL"/>
              </w:rPr>
            </w:pPr>
            <w:r w:rsidRPr="005F4D75">
              <w:rPr>
                <w:rFonts w:ascii="Arial" w:hAnsi="Arial" w:cs="Arial"/>
                <w:lang w:val="pl-PL"/>
              </w:rPr>
              <w:t>projektowanego art. 27d ust. 2 ustawy o obrocie, do rejestru a pominiętą w art. 9 tej ustawy.</w:t>
            </w:r>
          </w:p>
        </w:tc>
        <w:tc>
          <w:tcPr>
            <w:tcW w:w="4111" w:type="dxa"/>
          </w:tcPr>
          <w:p w14:paraId="06A593EC" w14:textId="77777777" w:rsidR="00721ECD" w:rsidRPr="00064D2A" w:rsidRDefault="00721ECD" w:rsidP="003546E0">
            <w:pPr>
              <w:autoSpaceDE w:val="0"/>
              <w:autoSpaceDN w:val="0"/>
              <w:adjustRightInd w:val="0"/>
              <w:jc w:val="both"/>
              <w:rPr>
                <w:rFonts w:ascii="Arial" w:hAnsi="Arial" w:cs="Arial"/>
                <w:b/>
                <w:bCs/>
                <w:lang w:val="pl-PL"/>
              </w:rPr>
            </w:pPr>
            <w:r w:rsidRPr="00064D2A">
              <w:rPr>
                <w:rFonts w:ascii="Arial" w:hAnsi="Arial" w:cs="Arial"/>
                <w:b/>
                <w:bCs/>
                <w:lang w:val="pl-PL"/>
              </w:rPr>
              <w:t>Uwaga uwzględniona-</w:t>
            </w:r>
          </w:p>
          <w:p w14:paraId="33810957" w14:textId="77777777" w:rsidR="00721ECD" w:rsidRPr="00064D2A" w:rsidRDefault="00721ECD" w:rsidP="003546E0">
            <w:pPr>
              <w:autoSpaceDE w:val="0"/>
              <w:autoSpaceDN w:val="0"/>
              <w:adjustRightInd w:val="0"/>
              <w:jc w:val="both"/>
              <w:rPr>
                <w:rFonts w:ascii="Arial" w:hAnsi="Arial" w:cs="Arial"/>
                <w:b/>
                <w:bCs/>
                <w:lang w:val="pl-PL"/>
              </w:rPr>
            </w:pPr>
          </w:p>
          <w:p w14:paraId="581B0FDD" w14:textId="17F5F9E0" w:rsidR="00721ECD" w:rsidRPr="00064D2A" w:rsidRDefault="00721ECD" w:rsidP="003546E0">
            <w:pPr>
              <w:autoSpaceDE w:val="0"/>
              <w:autoSpaceDN w:val="0"/>
              <w:adjustRightInd w:val="0"/>
              <w:jc w:val="both"/>
              <w:rPr>
                <w:rFonts w:ascii="Arial" w:hAnsi="Arial" w:cs="Arial"/>
                <w:lang w:val="pl-PL"/>
              </w:rPr>
            </w:pPr>
            <w:r w:rsidRPr="00064D2A">
              <w:rPr>
                <w:rFonts w:ascii="Arial" w:hAnsi="Arial" w:cs="Arial"/>
                <w:lang w:val="pl-PL"/>
              </w:rPr>
              <w:t>doprecyzowano dane w zakresie waluty wpisywanej do wniosku w jakiej planuje się dokonać obrotu i adekwatną informację wskazano w danych w rejestrze</w:t>
            </w:r>
            <w:r w:rsidR="00543CAA">
              <w:rPr>
                <w:rFonts w:ascii="Arial" w:hAnsi="Arial" w:cs="Arial"/>
                <w:lang w:val="pl-PL"/>
              </w:rPr>
              <w:t xml:space="preserve"> (waluta transakcji)</w:t>
            </w:r>
            <w:r w:rsidRPr="00064D2A">
              <w:rPr>
                <w:rFonts w:ascii="Arial" w:hAnsi="Arial" w:cs="Arial"/>
                <w:lang w:val="pl-PL"/>
              </w:rPr>
              <w:t xml:space="preserve">, oraz dodano w rejestrze dwie inne dane adekwatnie do wniosku (lit. i) i j)). </w:t>
            </w:r>
          </w:p>
        </w:tc>
      </w:tr>
      <w:tr w:rsidR="00721ECD" w:rsidRPr="00064D2A" w14:paraId="3E13E9C6" w14:textId="77777777" w:rsidTr="00064D2A">
        <w:tc>
          <w:tcPr>
            <w:tcW w:w="562" w:type="dxa"/>
          </w:tcPr>
          <w:p w14:paraId="28E319E6" w14:textId="302F9F5F" w:rsidR="00721ECD" w:rsidRPr="00064D2A" w:rsidRDefault="00721ECD" w:rsidP="00F75A1C">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8.</w:t>
            </w:r>
          </w:p>
        </w:tc>
        <w:tc>
          <w:tcPr>
            <w:tcW w:w="1333" w:type="dxa"/>
          </w:tcPr>
          <w:p w14:paraId="2B654FEB" w14:textId="699C7664" w:rsidR="00721ECD" w:rsidRPr="00064D2A" w:rsidRDefault="00721ECD" w:rsidP="00F75A1C">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RCL</w:t>
            </w:r>
          </w:p>
        </w:tc>
        <w:tc>
          <w:tcPr>
            <w:tcW w:w="1395" w:type="dxa"/>
          </w:tcPr>
          <w:p w14:paraId="68B7A929" w14:textId="7EEDF777" w:rsidR="00721ECD" w:rsidRPr="00064D2A" w:rsidRDefault="00721ECD" w:rsidP="0049157F">
            <w:pPr>
              <w:autoSpaceDE w:val="0"/>
              <w:autoSpaceDN w:val="0"/>
              <w:adjustRightInd w:val="0"/>
              <w:jc w:val="both"/>
              <w:rPr>
                <w:rFonts w:ascii="Arial" w:hAnsi="Arial" w:cs="Arial"/>
                <w:b/>
                <w:bCs/>
                <w:lang w:val="pl-PL"/>
              </w:rPr>
            </w:pPr>
            <w:r w:rsidRPr="00064D2A">
              <w:rPr>
                <w:rFonts w:ascii="Arial" w:hAnsi="Arial" w:cs="Arial"/>
                <w:b/>
                <w:bCs/>
                <w:lang w:val="pl-PL"/>
              </w:rPr>
              <w:t>Art. 1 pkt 16 (po zmianie pkt projektu będzie to pkt 18)- w odniesieniu do art. 27e ust. 2 ustawy o obrocie z zagranicą</w:t>
            </w:r>
          </w:p>
        </w:tc>
        <w:tc>
          <w:tcPr>
            <w:tcW w:w="3793" w:type="dxa"/>
          </w:tcPr>
          <w:p w14:paraId="5D106BD0" w14:textId="77777777" w:rsidR="00721ECD" w:rsidRPr="005F4D75" w:rsidRDefault="00721ECD" w:rsidP="001B0094">
            <w:pPr>
              <w:jc w:val="both"/>
              <w:rPr>
                <w:rFonts w:ascii="Arial" w:hAnsi="Arial" w:cs="Arial"/>
                <w:lang w:val="pl-PL"/>
              </w:rPr>
            </w:pPr>
            <w:r w:rsidRPr="005F4D75">
              <w:rPr>
                <w:rFonts w:ascii="Arial" w:hAnsi="Arial" w:cs="Arial"/>
                <w:lang w:val="pl-PL"/>
              </w:rPr>
              <w:t>Uściślenia art. 27e ustawy o obrocie (uwaga nr 16 pisma RCL z dnia 30 lipca 2024 r.),</w:t>
            </w:r>
          </w:p>
          <w:p w14:paraId="7CBF75CF" w14:textId="1A694522" w:rsidR="00721ECD" w:rsidRPr="00064D2A" w:rsidRDefault="00721ECD" w:rsidP="001B0094">
            <w:pPr>
              <w:jc w:val="both"/>
              <w:rPr>
                <w:rFonts w:ascii="Arial" w:hAnsi="Arial" w:cs="Arial"/>
                <w:lang w:val="pl-PL"/>
              </w:rPr>
            </w:pPr>
            <w:r w:rsidRPr="005F4D75">
              <w:rPr>
                <w:rFonts w:ascii="Arial" w:hAnsi="Arial" w:cs="Arial"/>
                <w:lang w:val="pl-PL"/>
              </w:rPr>
              <w:t>nadal bowiem nie jest jasny moment dokonania przez organ kontroli obrotu wpisu do</w:t>
            </w:r>
            <w:r w:rsidRPr="00064D2A">
              <w:rPr>
                <w:rFonts w:ascii="Arial" w:hAnsi="Arial" w:cs="Arial"/>
                <w:lang w:val="pl-PL"/>
              </w:rPr>
              <w:t xml:space="preserve"> </w:t>
            </w:r>
            <w:r w:rsidRPr="005F4D75">
              <w:rPr>
                <w:rFonts w:ascii="Arial" w:hAnsi="Arial" w:cs="Arial"/>
                <w:lang w:val="pl-PL"/>
              </w:rPr>
              <w:t xml:space="preserve">rejestru w przypadku generalnego unijnego zezwolenia na wywóz. </w:t>
            </w:r>
          </w:p>
          <w:p w14:paraId="68E16BF9" w14:textId="77777777" w:rsidR="00721ECD" w:rsidRPr="00064D2A" w:rsidRDefault="00721ECD" w:rsidP="001B0094">
            <w:pPr>
              <w:jc w:val="both"/>
              <w:rPr>
                <w:rFonts w:ascii="Arial" w:hAnsi="Arial" w:cs="Arial"/>
                <w:b/>
                <w:bCs/>
                <w:lang w:val="pl-PL"/>
              </w:rPr>
            </w:pPr>
          </w:p>
        </w:tc>
        <w:tc>
          <w:tcPr>
            <w:tcW w:w="2693" w:type="dxa"/>
          </w:tcPr>
          <w:p w14:paraId="35031160" w14:textId="77777777" w:rsidR="00721ECD" w:rsidRPr="005F4D75" w:rsidRDefault="00721ECD" w:rsidP="001B0094">
            <w:pPr>
              <w:jc w:val="both"/>
              <w:rPr>
                <w:rFonts w:ascii="Arial" w:hAnsi="Arial" w:cs="Arial"/>
                <w:lang w:val="pl-PL"/>
              </w:rPr>
            </w:pPr>
            <w:r w:rsidRPr="005F4D75">
              <w:rPr>
                <w:rFonts w:ascii="Arial" w:hAnsi="Arial" w:cs="Arial"/>
                <w:lang w:val="pl-PL"/>
              </w:rPr>
              <w:t>W tym zakresie</w:t>
            </w:r>
            <w:r w:rsidRPr="00064D2A">
              <w:rPr>
                <w:rFonts w:ascii="Arial" w:hAnsi="Arial" w:cs="Arial"/>
                <w:lang w:val="pl-PL"/>
              </w:rPr>
              <w:t xml:space="preserve"> </w:t>
            </w:r>
            <w:r w:rsidRPr="005F4D75">
              <w:rPr>
                <w:rFonts w:ascii="Arial" w:hAnsi="Arial" w:cs="Arial"/>
                <w:lang w:val="pl-PL"/>
              </w:rPr>
              <w:t>zmieniona regulacja odnosi się jedynie odpowiednio do terminu określonego dla każdego</w:t>
            </w:r>
          </w:p>
          <w:p w14:paraId="51BE715B" w14:textId="77777777" w:rsidR="00721ECD" w:rsidRPr="005F4D75" w:rsidRDefault="00721ECD" w:rsidP="001B0094">
            <w:pPr>
              <w:jc w:val="both"/>
              <w:rPr>
                <w:rFonts w:ascii="Arial" w:hAnsi="Arial" w:cs="Arial"/>
                <w:lang w:val="pl-PL"/>
              </w:rPr>
            </w:pPr>
            <w:r w:rsidRPr="005F4D75">
              <w:rPr>
                <w:rFonts w:ascii="Arial" w:hAnsi="Arial" w:cs="Arial"/>
                <w:lang w:val="pl-PL"/>
              </w:rPr>
              <w:t>takiego zezwolenia w sekcji załącznika II do rozporządzenia 2021/821, co nie pozwala</w:t>
            </w:r>
            <w:r w:rsidRPr="00064D2A">
              <w:rPr>
                <w:rFonts w:ascii="Arial" w:hAnsi="Arial" w:cs="Arial"/>
                <w:lang w:val="pl-PL"/>
              </w:rPr>
              <w:t xml:space="preserve"> </w:t>
            </w:r>
            <w:r w:rsidRPr="005F4D75">
              <w:rPr>
                <w:rFonts w:ascii="Arial" w:hAnsi="Arial" w:cs="Arial"/>
                <w:lang w:val="pl-PL"/>
              </w:rPr>
              <w:t>jasno określić w oparciu o jaki dokument dokonywany będzie wpis.</w:t>
            </w:r>
          </w:p>
          <w:p w14:paraId="2AF826BF" w14:textId="77777777" w:rsidR="00721ECD" w:rsidRPr="00064D2A" w:rsidRDefault="00721ECD" w:rsidP="00F75A1C">
            <w:pPr>
              <w:autoSpaceDE w:val="0"/>
              <w:autoSpaceDN w:val="0"/>
              <w:adjustRightInd w:val="0"/>
              <w:spacing w:line="300" w:lineRule="auto"/>
              <w:jc w:val="both"/>
              <w:rPr>
                <w:rFonts w:ascii="Arial" w:hAnsi="Arial" w:cs="Arial"/>
                <w:b/>
                <w:bCs/>
                <w:lang w:val="pl-PL"/>
              </w:rPr>
            </w:pPr>
          </w:p>
        </w:tc>
        <w:tc>
          <w:tcPr>
            <w:tcW w:w="4111" w:type="dxa"/>
          </w:tcPr>
          <w:p w14:paraId="6BBA6E11" w14:textId="77777777" w:rsidR="00721ECD" w:rsidRPr="00064D2A" w:rsidRDefault="00721ECD" w:rsidP="003546E0">
            <w:pPr>
              <w:autoSpaceDE w:val="0"/>
              <w:autoSpaceDN w:val="0"/>
              <w:adjustRightInd w:val="0"/>
              <w:jc w:val="both"/>
              <w:rPr>
                <w:rFonts w:ascii="Arial" w:hAnsi="Arial" w:cs="Arial"/>
                <w:b/>
                <w:bCs/>
                <w:lang w:val="pl-PL"/>
              </w:rPr>
            </w:pPr>
            <w:r w:rsidRPr="00064D2A">
              <w:rPr>
                <w:rFonts w:ascii="Arial" w:hAnsi="Arial" w:cs="Arial"/>
                <w:b/>
                <w:bCs/>
                <w:lang w:val="pl-PL"/>
              </w:rPr>
              <w:t xml:space="preserve">Uwaga uwzględniona – </w:t>
            </w:r>
          </w:p>
          <w:p w14:paraId="0892BB67" w14:textId="77777777" w:rsidR="00721ECD" w:rsidRPr="00064D2A" w:rsidRDefault="00721ECD" w:rsidP="003546E0">
            <w:pPr>
              <w:autoSpaceDE w:val="0"/>
              <w:autoSpaceDN w:val="0"/>
              <w:adjustRightInd w:val="0"/>
              <w:jc w:val="both"/>
              <w:rPr>
                <w:rFonts w:ascii="Arial" w:hAnsi="Arial" w:cs="Arial"/>
                <w:lang w:val="pl-PL"/>
              </w:rPr>
            </w:pPr>
          </w:p>
          <w:p w14:paraId="673D8493" w14:textId="6A1D7EB4" w:rsidR="00721ECD" w:rsidRPr="00064D2A" w:rsidRDefault="00721ECD" w:rsidP="003546E0">
            <w:pPr>
              <w:autoSpaceDE w:val="0"/>
              <w:autoSpaceDN w:val="0"/>
              <w:adjustRightInd w:val="0"/>
              <w:jc w:val="both"/>
              <w:rPr>
                <w:rFonts w:ascii="Arial" w:hAnsi="Arial" w:cs="Arial"/>
                <w:b/>
                <w:bCs/>
                <w:lang w:val="pl-PL"/>
              </w:rPr>
            </w:pPr>
            <w:r w:rsidRPr="00064D2A">
              <w:rPr>
                <w:rFonts w:ascii="Arial" w:hAnsi="Arial" w:cs="Arial"/>
                <w:lang w:val="pl-PL"/>
              </w:rPr>
              <w:t>poprzez zmianę doprecyzowanie momentu. Wyjaśniamy również, że  tym dokumentem jest pismo podpisane przez osobę uprawnioną, zawierające dane podmiotu oraz numer zezwolenia - nie ma to określonej formy.</w:t>
            </w:r>
          </w:p>
        </w:tc>
      </w:tr>
      <w:tr w:rsidR="00721ECD" w:rsidRPr="00064D2A" w14:paraId="6C6C2505" w14:textId="77777777" w:rsidTr="00064D2A">
        <w:tc>
          <w:tcPr>
            <w:tcW w:w="562" w:type="dxa"/>
          </w:tcPr>
          <w:p w14:paraId="1CFC19C3" w14:textId="179A67C4" w:rsidR="00721ECD" w:rsidRPr="00064D2A" w:rsidRDefault="00721ECD" w:rsidP="00994AAA">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9.</w:t>
            </w:r>
          </w:p>
        </w:tc>
        <w:tc>
          <w:tcPr>
            <w:tcW w:w="1333" w:type="dxa"/>
          </w:tcPr>
          <w:p w14:paraId="0E751699" w14:textId="3276BC43" w:rsidR="00721ECD" w:rsidRPr="00064D2A" w:rsidRDefault="00721ECD" w:rsidP="00994AAA">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RCL</w:t>
            </w:r>
          </w:p>
        </w:tc>
        <w:tc>
          <w:tcPr>
            <w:tcW w:w="1395" w:type="dxa"/>
          </w:tcPr>
          <w:p w14:paraId="3CF0AD5F" w14:textId="2B06B9BA" w:rsidR="00721ECD" w:rsidRPr="00064D2A" w:rsidRDefault="00721ECD" w:rsidP="0049157F">
            <w:pPr>
              <w:autoSpaceDE w:val="0"/>
              <w:autoSpaceDN w:val="0"/>
              <w:adjustRightInd w:val="0"/>
              <w:jc w:val="both"/>
              <w:rPr>
                <w:rFonts w:ascii="Arial" w:hAnsi="Arial" w:cs="Arial"/>
                <w:b/>
                <w:bCs/>
                <w:lang w:val="pl-PL"/>
              </w:rPr>
            </w:pPr>
            <w:r w:rsidRPr="00064D2A">
              <w:rPr>
                <w:rFonts w:ascii="Arial" w:hAnsi="Arial" w:cs="Arial"/>
                <w:b/>
                <w:bCs/>
                <w:lang w:val="pl-PL"/>
              </w:rPr>
              <w:t>Art. 1 pkt 16 (po zmianie pkt projektu będzie to pkt 18)- w odniesieniu do art. 27g ust. 2 ustawy o obrocie z zagranicą</w:t>
            </w:r>
          </w:p>
        </w:tc>
        <w:tc>
          <w:tcPr>
            <w:tcW w:w="3793" w:type="dxa"/>
          </w:tcPr>
          <w:p w14:paraId="4F208F7C" w14:textId="4F43CD4C" w:rsidR="00721ECD" w:rsidRPr="005F4D75" w:rsidRDefault="00721ECD" w:rsidP="00994AAA">
            <w:pPr>
              <w:jc w:val="both"/>
              <w:rPr>
                <w:rFonts w:ascii="Arial" w:hAnsi="Arial" w:cs="Arial"/>
                <w:lang w:val="pl-PL"/>
              </w:rPr>
            </w:pPr>
            <w:r w:rsidRPr="005F4D75">
              <w:rPr>
                <w:rFonts w:ascii="Arial" w:hAnsi="Arial" w:cs="Arial"/>
                <w:lang w:val="pl-PL"/>
              </w:rPr>
              <w:t>Sprecyzowania art. 27g ustawy o obrocie przez wskazanie zadań, jakie mogą być</w:t>
            </w:r>
            <w:r w:rsidRPr="00064D2A">
              <w:rPr>
                <w:rFonts w:ascii="Arial" w:hAnsi="Arial" w:cs="Arial"/>
                <w:lang w:val="pl-PL"/>
              </w:rPr>
              <w:t xml:space="preserve"> </w:t>
            </w:r>
            <w:r w:rsidRPr="005F4D75">
              <w:rPr>
                <w:rFonts w:ascii="Arial" w:hAnsi="Arial" w:cs="Arial"/>
                <w:lang w:val="pl-PL"/>
              </w:rPr>
              <w:t>przedmiotem powierzenia instytutowi, jak również instytutu, któremu zadania mogą być</w:t>
            </w:r>
            <w:r w:rsidRPr="00064D2A">
              <w:rPr>
                <w:rFonts w:ascii="Arial" w:hAnsi="Arial" w:cs="Arial"/>
                <w:lang w:val="pl-PL"/>
              </w:rPr>
              <w:t xml:space="preserve"> </w:t>
            </w:r>
            <w:r w:rsidRPr="005F4D75">
              <w:rPr>
                <w:rFonts w:ascii="Arial" w:hAnsi="Arial" w:cs="Arial"/>
                <w:lang w:val="pl-PL"/>
              </w:rPr>
              <w:t xml:space="preserve">powierzone (uwaga nr 18 pkt 2 i 3 pisma RCL z dnia 30 lipca 2024 r.). </w:t>
            </w:r>
          </w:p>
          <w:p w14:paraId="7837DB6B" w14:textId="77777777" w:rsidR="00721ECD" w:rsidRPr="00064D2A" w:rsidRDefault="00721ECD" w:rsidP="00994AAA">
            <w:pPr>
              <w:jc w:val="both"/>
              <w:rPr>
                <w:rFonts w:ascii="Arial" w:hAnsi="Arial" w:cs="Arial"/>
                <w:b/>
                <w:bCs/>
                <w:lang w:val="pl-PL"/>
              </w:rPr>
            </w:pPr>
          </w:p>
        </w:tc>
        <w:tc>
          <w:tcPr>
            <w:tcW w:w="2693" w:type="dxa"/>
          </w:tcPr>
          <w:p w14:paraId="02737339" w14:textId="2CB5A33B" w:rsidR="00721ECD" w:rsidRPr="005F4D75" w:rsidRDefault="00721ECD" w:rsidP="00994AAA">
            <w:pPr>
              <w:jc w:val="both"/>
              <w:rPr>
                <w:rFonts w:ascii="Arial" w:hAnsi="Arial" w:cs="Arial"/>
                <w:lang w:val="pl-PL"/>
              </w:rPr>
            </w:pPr>
            <w:r w:rsidRPr="005F4D75">
              <w:rPr>
                <w:rFonts w:ascii="Arial" w:hAnsi="Arial" w:cs="Arial"/>
                <w:lang w:val="pl-PL"/>
              </w:rPr>
              <w:t>Zgodnie</w:t>
            </w:r>
            <w:r w:rsidRPr="00064D2A">
              <w:rPr>
                <w:rFonts w:ascii="Arial" w:hAnsi="Arial" w:cs="Arial"/>
                <w:lang w:val="pl-PL"/>
              </w:rPr>
              <w:t xml:space="preserve"> </w:t>
            </w:r>
            <w:r w:rsidRPr="005F4D75">
              <w:rPr>
                <w:rFonts w:ascii="Arial" w:hAnsi="Arial" w:cs="Arial"/>
                <w:lang w:val="pl-PL"/>
              </w:rPr>
              <w:t>z wyjaśnieniem w uzasadnieniu projektu intencją jest pozostawienie pełnej swobody we</w:t>
            </w:r>
            <w:r w:rsidRPr="00064D2A">
              <w:rPr>
                <w:rFonts w:ascii="Arial" w:hAnsi="Arial" w:cs="Arial"/>
                <w:lang w:val="pl-PL"/>
              </w:rPr>
              <w:t xml:space="preserve"> </w:t>
            </w:r>
            <w:r w:rsidRPr="005F4D75">
              <w:rPr>
                <w:rFonts w:ascii="Arial" w:hAnsi="Arial" w:cs="Arial"/>
                <w:lang w:val="pl-PL"/>
              </w:rPr>
              <w:t>wskazaniu zadań, zostaną one więc określone w porozumieniu (str. 13). W ocenie RCL</w:t>
            </w:r>
            <w:r w:rsidRPr="00064D2A">
              <w:rPr>
                <w:rFonts w:ascii="Arial" w:hAnsi="Arial" w:cs="Arial"/>
                <w:lang w:val="pl-PL"/>
              </w:rPr>
              <w:t xml:space="preserve"> </w:t>
            </w:r>
            <w:r w:rsidRPr="005F4D75">
              <w:rPr>
                <w:rFonts w:ascii="Arial" w:hAnsi="Arial" w:cs="Arial"/>
                <w:lang w:val="pl-PL"/>
              </w:rPr>
              <w:t xml:space="preserve">nie jest możliwe określenie katalogu tych zadań w porozumieniu, </w:t>
            </w:r>
            <w:r w:rsidRPr="005F4D75">
              <w:rPr>
                <w:rFonts w:ascii="Arial" w:hAnsi="Arial" w:cs="Arial"/>
                <w:lang w:val="pl-PL"/>
              </w:rPr>
              <w:lastRenderedPageBreak/>
              <w:t>powinny zostać one</w:t>
            </w:r>
            <w:r w:rsidRPr="00064D2A">
              <w:rPr>
                <w:rFonts w:ascii="Arial" w:hAnsi="Arial" w:cs="Arial"/>
                <w:lang w:val="pl-PL"/>
              </w:rPr>
              <w:t xml:space="preserve"> </w:t>
            </w:r>
            <w:r w:rsidRPr="005F4D75">
              <w:rPr>
                <w:rFonts w:ascii="Arial" w:hAnsi="Arial" w:cs="Arial"/>
                <w:lang w:val="pl-PL"/>
              </w:rPr>
              <w:t>określone w ustawie.</w:t>
            </w:r>
          </w:p>
          <w:p w14:paraId="569CA01F" w14:textId="7637475A" w:rsidR="00721ECD" w:rsidRPr="005F4D75" w:rsidRDefault="00721ECD" w:rsidP="00994AAA">
            <w:pPr>
              <w:jc w:val="both"/>
              <w:rPr>
                <w:rFonts w:ascii="Arial" w:hAnsi="Arial" w:cs="Arial"/>
                <w:lang w:val="pl-PL"/>
              </w:rPr>
            </w:pPr>
            <w:r w:rsidRPr="005F4D75">
              <w:rPr>
                <w:rFonts w:ascii="Arial" w:hAnsi="Arial" w:cs="Arial"/>
                <w:lang w:val="pl-PL"/>
              </w:rPr>
              <w:t>Wyjaśnienia przy tym wymaga określony termin wejścia w życie tej regulacji (art. 27g) na</w:t>
            </w:r>
            <w:r w:rsidRPr="00064D2A">
              <w:rPr>
                <w:rFonts w:ascii="Arial" w:hAnsi="Arial" w:cs="Arial"/>
                <w:lang w:val="pl-PL"/>
              </w:rPr>
              <w:t xml:space="preserve"> </w:t>
            </w:r>
            <w:r w:rsidRPr="005F4D75">
              <w:rPr>
                <w:rFonts w:ascii="Arial" w:hAnsi="Arial" w:cs="Arial"/>
                <w:lang w:val="pl-PL"/>
              </w:rPr>
              <w:t>dzień następujący po dniu ogłoszenia. Biorąc pod uwagę, że przedmiotem porozumienia</w:t>
            </w:r>
            <w:r w:rsidRPr="00064D2A">
              <w:rPr>
                <w:rFonts w:ascii="Arial" w:hAnsi="Arial" w:cs="Arial"/>
                <w:lang w:val="pl-PL"/>
              </w:rPr>
              <w:t xml:space="preserve"> </w:t>
            </w:r>
            <w:r w:rsidRPr="005F4D75">
              <w:rPr>
                <w:rFonts w:ascii="Arial" w:hAnsi="Arial" w:cs="Arial"/>
                <w:lang w:val="pl-PL"/>
              </w:rPr>
              <w:t>jest utrzymanie i rozwój systemu teleinformatycznego, o którym mowa w art. 27d ust. 1</w:t>
            </w:r>
            <w:r w:rsidRPr="00064D2A">
              <w:rPr>
                <w:rFonts w:ascii="Arial" w:hAnsi="Arial" w:cs="Arial"/>
                <w:lang w:val="pl-PL"/>
              </w:rPr>
              <w:t xml:space="preserve"> </w:t>
            </w:r>
            <w:r w:rsidRPr="005F4D75">
              <w:rPr>
                <w:rFonts w:ascii="Arial" w:hAnsi="Arial" w:cs="Arial"/>
                <w:lang w:val="pl-PL"/>
              </w:rPr>
              <w:t xml:space="preserve">ustawy o obrocie, wyjaśnienia wymaga </w:t>
            </w:r>
            <w:r w:rsidRPr="005F4D75">
              <w:rPr>
                <w:rFonts w:ascii="Arial" w:hAnsi="Arial" w:cs="Arial"/>
                <w:i/>
                <w:iCs/>
                <w:lang w:val="pl-PL"/>
              </w:rPr>
              <w:t xml:space="preserve">ratio legis </w:t>
            </w:r>
            <w:r w:rsidRPr="005F4D75">
              <w:rPr>
                <w:rFonts w:ascii="Arial" w:hAnsi="Arial" w:cs="Arial"/>
                <w:lang w:val="pl-PL"/>
              </w:rPr>
              <w:t>zawierania takiego porozumienia przed</w:t>
            </w:r>
            <w:r w:rsidRPr="00064D2A">
              <w:rPr>
                <w:rFonts w:ascii="Arial" w:hAnsi="Arial" w:cs="Arial"/>
                <w:lang w:val="pl-PL"/>
              </w:rPr>
              <w:t xml:space="preserve"> </w:t>
            </w:r>
            <w:r w:rsidRPr="005F4D75">
              <w:rPr>
                <w:rFonts w:ascii="Arial" w:hAnsi="Arial" w:cs="Arial"/>
                <w:lang w:val="pl-PL"/>
              </w:rPr>
              <w:t>utworzeniem takiego systemu. Zgodnie z art. 12 projektu przepisy dotyczące tego systemu</w:t>
            </w:r>
            <w:r w:rsidRPr="00064D2A">
              <w:rPr>
                <w:rFonts w:ascii="Arial" w:hAnsi="Arial" w:cs="Arial"/>
                <w:lang w:val="pl-PL"/>
              </w:rPr>
              <w:t xml:space="preserve"> </w:t>
            </w:r>
            <w:r w:rsidRPr="005F4D75">
              <w:rPr>
                <w:rFonts w:ascii="Arial" w:hAnsi="Arial" w:cs="Arial"/>
                <w:lang w:val="pl-PL"/>
              </w:rPr>
              <w:t>wejdą w życie po upływie 14 dni od dnia ogłoszenia.</w:t>
            </w:r>
          </w:p>
          <w:p w14:paraId="11E983C5" w14:textId="77777777" w:rsidR="00721ECD" w:rsidRPr="00064D2A" w:rsidRDefault="00721ECD" w:rsidP="00994AAA">
            <w:pPr>
              <w:autoSpaceDE w:val="0"/>
              <w:autoSpaceDN w:val="0"/>
              <w:adjustRightInd w:val="0"/>
              <w:spacing w:line="300" w:lineRule="auto"/>
              <w:jc w:val="both"/>
              <w:rPr>
                <w:rFonts w:ascii="Arial" w:hAnsi="Arial" w:cs="Arial"/>
                <w:b/>
                <w:bCs/>
                <w:lang w:val="pl-PL"/>
              </w:rPr>
            </w:pPr>
          </w:p>
        </w:tc>
        <w:tc>
          <w:tcPr>
            <w:tcW w:w="4111" w:type="dxa"/>
          </w:tcPr>
          <w:p w14:paraId="1E7D1FCF" w14:textId="77777777" w:rsidR="00721ECD" w:rsidRPr="00064D2A" w:rsidRDefault="00721ECD" w:rsidP="00994AAA">
            <w:pPr>
              <w:autoSpaceDE w:val="0"/>
              <w:autoSpaceDN w:val="0"/>
              <w:adjustRightInd w:val="0"/>
              <w:jc w:val="both"/>
              <w:rPr>
                <w:rFonts w:ascii="Arial" w:hAnsi="Arial" w:cs="Arial"/>
                <w:b/>
                <w:bCs/>
                <w:lang w:val="pl-PL"/>
              </w:rPr>
            </w:pPr>
            <w:r w:rsidRPr="00064D2A">
              <w:rPr>
                <w:rFonts w:ascii="Arial" w:hAnsi="Arial" w:cs="Arial"/>
                <w:b/>
                <w:bCs/>
                <w:lang w:val="pl-PL"/>
              </w:rPr>
              <w:lastRenderedPageBreak/>
              <w:t>Uwaga uwzględniona-</w:t>
            </w:r>
          </w:p>
          <w:p w14:paraId="74532BD3" w14:textId="77777777" w:rsidR="00721ECD" w:rsidRPr="00064D2A" w:rsidRDefault="00721ECD" w:rsidP="00994AAA">
            <w:pPr>
              <w:autoSpaceDE w:val="0"/>
              <w:autoSpaceDN w:val="0"/>
              <w:adjustRightInd w:val="0"/>
              <w:jc w:val="both"/>
              <w:rPr>
                <w:rFonts w:ascii="Arial" w:hAnsi="Arial" w:cs="Arial"/>
                <w:b/>
                <w:bCs/>
                <w:lang w:val="pl-PL"/>
              </w:rPr>
            </w:pPr>
          </w:p>
          <w:p w14:paraId="2CC24753" w14:textId="77777777" w:rsidR="00721ECD" w:rsidRPr="00064D2A" w:rsidRDefault="00721ECD" w:rsidP="00994AAA">
            <w:pPr>
              <w:autoSpaceDE w:val="0"/>
              <w:autoSpaceDN w:val="0"/>
              <w:adjustRightInd w:val="0"/>
              <w:jc w:val="both"/>
              <w:rPr>
                <w:rFonts w:ascii="Arial" w:hAnsi="Arial" w:cs="Arial"/>
                <w:lang w:val="pl-PL"/>
              </w:rPr>
            </w:pPr>
            <w:r w:rsidRPr="00064D2A">
              <w:rPr>
                <w:rFonts w:ascii="Arial" w:hAnsi="Arial" w:cs="Arial"/>
                <w:lang w:val="pl-PL"/>
              </w:rPr>
              <w:t>doprecyzowano zadania jakie  - jeśli dojdzie do zawarcia porozumienia – będzie mógł wykonywać instytut. Dodatkowo wyjaśniamy cel wejścia wcześniejszego przepisu w zakresie porozumienia:</w:t>
            </w:r>
          </w:p>
          <w:p w14:paraId="7425E26B" w14:textId="18CBCAB0" w:rsidR="00721ECD" w:rsidRPr="00064D2A" w:rsidRDefault="00721ECD" w:rsidP="00C553D3">
            <w:pPr>
              <w:autoSpaceDE w:val="0"/>
              <w:autoSpaceDN w:val="0"/>
              <w:adjustRightInd w:val="0"/>
              <w:jc w:val="both"/>
              <w:rPr>
                <w:rFonts w:ascii="Arial" w:hAnsi="Arial" w:cs="Arial"/>
                <w:lang w:val="pl-PL"/>
              </w:rPr>
            </w:pPr>
            <w:r w:rsidRPr="00064D2A">
              <w:rPr>
                <w:rFonts w:ascii="Arial" w:hAnsi="Arial" w:cs="Arial"/>
                <w:lang w:val="pl-PL"/>
              </w:rPr>
              <w:t xml:space="preserve">MRiT będzie </w:t>
            </w:r>
            <w:r w:rsidRPr="00C553D3">
              <w:rPr>
                <w:rFonts w:ascii="Arial" w:hAnsi="Arial" w:cs="Arial"/>
                <w:lang w:val="pl-PL"/>
              </w:rPr>
              <w:t>potrze</w:t>
            </w:r>
            <w:r w:rsidRPr="00064D2A">
              <w:rPr>
                <w:rFonts w:ascii="Arial" w:hAnsi="Arial" w:cs="Arial"/>
                <w:lang w:val="pl-PL"/>
              </w:rPr>
              <w:t xml:space="preserve">bował ok. </w:t>
            </w:r>
            <w:r w:rsidRPr="00C553D3">
              <w:rPr>
                <w:rFonts w:ascii="Arial" w:hAnsi="Arial" w:cs="Arial"/>
                <w:lang w:val="pl-PL"/>
              </w:rPr>
              <w:t>2 tygodni przed uruchomieniem usług online, żeby zawrzeć porozumienie z PIT</w:t>
            </w:r>
            <w:r w:rsidRPr="00064D2A">
              <w:rPr>
                <w:rFonts w:ascii="Arial" w:hAnsi="Arial" w:cs="Arial"/>
                <w:lang w:val="pl-PL"/>
              </w:rPr>
              <w:t>, dla systemu który</w:t>
            </w:r>
            <w:r w:rsidRPr="00C553D3">
              <w:rPr>
                <w:rFonts w:ascii="Arial" w:hAnsi="Arial" w:cs="Arial"/>
                <w:lang w:val="pl-PL"/>
              </w:rPr>
              <w:t xml:space="preserve"> </w:t>
            </w:r>
            <w:r w:rsidRPr="00064D2A">
              <w:rPr>
                <w:rFonts w:ascii="Arial" w:hAnsi="Arial" w:cs="Arial"/>
                <w:lang w:val="pl-PL"/>
              </w:rPr>
              <w:t>jest</w:t>
            </w:r>
            <w:r w:rsidRPr="00C553D3">
              <w:rPr>
                <w:rFonts w:ascii="Arial" w:hAnsi="Arial" w:cs="Arial"/>
                <w:lang w:val="pl-PL"/>
              </w:rPr>
              <w:t xml:space="preserve"> technicznie gotowy do </w:t>
            </w:r>
            <w:r w:rsidRPr="00C553D3">
              <w:rPr>
                <w:rFonts w:ascii="Arial" w:hAnsi="Arial" w:cs="Arial"/>
                <w:lang w:val="pl-PL"/>
              </w:rPr>
              <w:lastRenderedPageBreak/>
              <w:t xml:space="preserve">uruchomienia. </w:t>
            </w:r>
            <w:r w:rsidRPr="00064D2A">
              <w:rPr>
                <w:rFonts w:ascii="Arial" w:hAnsi="Arial" w:cs="Arial"/>
                <w:lang w:val="pl-PL"/>
              </w:rPr>
              <w:t>Kon</w:t>
            </w:r>
            <w:r w:rsidRPr="00C553D3">
              <w:rPr>
                <w:rFonts w:ascii="Arial" w:hAnsi="Arial" w:cs="Arial"/>
                <w:lang w:val="pl-PL"/>
              </w:rPr>
              <w:t xml:space="preserve">ieczne </w:t>
            </w:r>
            <w:r w:rsidRPr="00064D2A">
              <w:rPr>
                <w:rFonts w:ascii="Arial" w:hAnsi="Arial" w:cs="Arial"/>
                <w:lang w:val="pl-PL"/>
              </w:rPr>
              <w:t xml:space="preserve">w naszej ocenie jest </w:t>
            </w:r>
            <w:r w:rsidRPr="00C553D3">
              <w:rPr>
                <w:rFonts w:ascii="Arial" w:hAnsi="Arial" w:cs="Arial"/>
                <w:lang w:val="pl-PL"/>
              </w:rPr>
              <w:t>zapewnienie wsparcia w rozwoju i utrzymaniu systemu przed wejściem w życie przepisów umożliwiających przedsiębiorcom korzystanie z systemu celem wychwycenia ewentualnych wszelkich niedoskonałości systemu oraz zapewnienia ciągłego działania w zakresie procedowania spraw inicjowanych wpływem papierowym.</w:t>
            </w:r>
          </w:p>
        </w:tc>
      </w:tr>
      <w:tr w:rsidR="00721ECD" w:rsidRPr="00064D2A" w14:paraId="5FCB3AF7" w14:textId="77777777" w:rsidTr="00064D2A">
        <w:tc>
          <w:tcPr>
            <w:tcW w:w="562" w:type="dxa"/>
          </w:tcPr>
          <w:p w14:paraId="09F7BEE6" w14:textId="48476281" w:rsidR="00721ECD" w:rsidRPr="00064D2A" w:rsidRDefault="00721ECD" w:rsidP="00994AAA">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lastRenderedPageBreak/>
              <w:t>10.</w:t>
            </w:r>
          </w:p>
        </w:tc>
        <w:tc>
          <w:tcPr>
            <w:tcW w:w="1333" w:type="dxa"/>
          </w:tcPr>
          <w:p w14:paraId="00633202" w14:textId="10211954" w:rsidR="00721ECD" w:rsidRPr="00064D2A" w:rsidRDefault="00721ECD" w:rsidP="00994AAA">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RCL</w:t>
            </w:r>
          </w:p>
        </w:tc>
        <w:tc>
          <w:tcPr>
            <w:tcW w:w="1395" w:type="dxa"/>
          </w:tcPr>
          <w:p w14:paraId="78822FE5" w14:textId="47CA3FE1" w:rsidR="00721ECD" w:rsidRPr="00064D2A" w:rsidRDefault="00721ECD" w:rsidP="00994AAA">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Art. 1 pkt 3 - w odniesieniu do art. 6 ust. 6 ustawy o obrocie z zagranicą</w:t>
            </w:r>
          </w:p>
        </w:tc>
        <w:tc>
          <w:tcPr>
            <w:tcW w:w="3793" w:type="dxa"/>
          </w:tcPr>
          <w:p w14:paraId="69F31A5C" w14:textId="701C9441" w:rsidR="00721ECD" w:rsidRPr="005F4D75" w:rsidRDefault="00721ECD" w:rsidP="00C553D3">
            <w:pPr>
              <w:jc w:val="both"/>
              <w:rPr>
                <w:rFonts w:ascii="Arial" w:hAnsi="Arial" w:cs="Arial"/>
                <w:lang w:val="pl-PL"/>
              </w:rPr>
            </w:pPr>
            <w:r w:rsidRPr="005F4D75">
              <w:rPr>
                <w:rFonts w:ascii="Arial" w:hAnsi="Arial" w:cs="Arial"/>
                <w:lang w:val="pl-PL"/>
              </w:rPr>
              <w:t>W odniesieniu do projektowanej regulacji art. 6 ust. 6 ustawy o obrocie wymaga on</w:t>
            </w:r>
            <w:r w:rsidRPr="00064D2A">
              <w:rPr>
                <w:rFonts w:ascii="Arial" w:hAnsi="Arial" w:cs="Arial"/>
                <w:lang w:val="pl-PL"/>
              </w:rPr>
              <w:t xml:space="preserve"> </w:t>
            </w:r>
            <w:r w:rsidRPr="005F4D75">
              <w:rPr>
                <w:rFonts w:ascii="Arial" w:hAnsi="Arial" w:cs="Arial"/>
                <w:lang w:val="pl-PL"/>
              </w:rPr>
              <w:t>precyzowania z uwagi na wprowadzaną fakultatywność objęcia wywozu (może być</w:t>
            </w:r>
            <w:r w:rsidRPr="00064D2A">
              <w:rPr>
                <w:rFonts w:ascii="Arial" w:hAnsi="Arial" w:cs="Arial"/>
                <w:lang w:val="pl-PL"/>
              </w:rPr>
              <w:t xml:space="preserve"> </w:t>
            </w:r>
            <w:r w:rsidRPr="005F4D75">
              <w:rPr>
                <w:rFonts w:ascii="Arial" w:hAnsi="Arial" w:cs="Arial"/>
                <w:lang w:val="pl-PL"/>
              </w:rPr>
              <w:t>objęty) produktów podwójnego zastosowania krajowym zezwoleniem generalnym lub</w:t>
            </w:r>
          </w:p>
          <w:p w14:paraId="357454BC" w14:textId="021FFEEF" w:rsidR="00721ECD" w:rsidRPr="00064D2A" w:rsidRDefault="00721ECD" w:rsidP="00311254">
            <w:pPr>
              <w:jc w:val="both"/>
              <w:rPr>
                <w:rFonts w:ascii="Arial" w:hAnsi="Arial" w:cs="Arial"/>
                <w:b/>
                <w:bCs/>
                <w:lang w:val="pl-PL"/>
              </w:rPr>
            </w:pPr>
            <w:r w:rsidRPr="005F4D75">
              <w:rPr>
                <w:rFonts w:ascii="Arial" w:hAnsi="Arial" w:cs="Arial"/>
                <w:lang w:val="pl-PL"/>
              </w:rPr>
              <w:t xml:space="preserve">unijnym generalnym zezwoleniem. </w:t>
            </w:r>
          </w:p>
        </w:tc>
        <w:tc>
          <w:tcPr>
            <w:tcW w:w="2693" w:type="dxa"/>
          </w:tcPr>
          <w:p w14:paraId="2F0CBEFC" w14:textId="77777777" w:rsidR="00721ECD" w:rsidRPr="005F4D75" w:rsidRDefault="00721ECD" w:rsidP="00311254">
            <w:pPr>
              <w:jc w:val="both"/>
              <w:rPr>
                <w:rFonts w:ascii="Arial" w:hAnsi="Arial" w:cs="Arial"/>
                <w:lang w:val="pl-PL"/>
              </w:rPr>
            </w:pPr>
            <w:r w:rsidRPr="005F4D75">
              <w:rPr>
                <w:rFonts w:ascii="Arial" w:hAnsi="Arial" w:cs="Arial"/>
                <w:lang w:val="pl-PL"/>
              </w:rPr>
              <w:t>Przepis ten nie wskazuje bowiem w jakich</w:t>
            </w:r>
          </w:p>
          <w:p w14:paraId="17078EB6" w14:textId="77777777" w:rsidR="00721ECD" w:rsidRPr="005F4D75" w:rsidRDefault="00721ECD" w:rsidP="00311254">
            <w:pPr>
              <w:jc w:val="both"/>
              <w:rPr>
                <w:rFonts w:ascii="Arial" w:hAnsi="Arial" w:cs="Arial"/>
                <w:lang w:val="pl-PL"/>
              </w:rPr>
            </w:pPr>
            <w:r w:rsidRPr="005F4D75">
              <w:rPr>
                <w:rFonts w:ascii="Arial" w:hAnsi="Arial" w:cs="Arial"/>
                <w:lang w:val="pl-PL"/>
              </w:rPr>
              <w:t>przypadkach (okolicznościach) wywóz produktów podwójnego zastosowania może być</w:t>
            </w:r>
          </w:p>
          <w:p w14:paraId="17FA8DD6" w14:textId="77777777" w:rsidR="00721ECD" w:rsidRPr="005F4D75" w:rsidRDefault="00721ECD" w:rsidP="00311254">
            <w:pPr>
              <w:jc w:val="both"/>
              <w:rPr>
                <w:rFonts w:ascii="Arial" w:hAnsi="Arial" w:cs="Arial"/>
                <w:lang w:val="pl-PL"/>
              </w:rPr>
            </w:pPr>
            <w:r w:rsidRPr="005F4D75">
              <w:rPr>
                <w:rFonts w:ascii="Arial" w:hAnsi="Arial" w:cs="Arial"/>
                <w:lang w:val="pl-PL"/>
              </w:rPr>
              <w:t>objęty krajowym zezwoleniem generalnym lub unijnym generalnym zezwoleniem.</w:t>
            </w:r>
          </w:p>
          <w:p w14:paraId="4AE391C7" w14:textId="77777777" w:rsidR="00721ECD" w:rsidRPr="00064D2A" w:rsidRDefault="00721ECD" w:rsidP="00994AAA">
            <w:pPr>
              <w:autoSpaceDE w:val="0"/>
              <w:autoSpaceDN w:val="0"/>
              <w:adjustRightInd w:val="0"/>
              <w:spacing w:line="300" w:lineRule="auto"/>
              <w:jc w:val="both"/>
              <w:rPr>
                <w:rFonts w:ascii="Arial" w:hAnsi="Arial" w:cs="Arial"/>
                <w:b/>
                <w:bCs/>
                <w:lang w:val="pl-PL"/>
              </w:rPr>
            </w:pPr>
          </w:p>
        </w:tc>
        <w:tc>
          <w:tcPr>
            <w:tcW w:w="4111" w:type="dxa"/>
          </w:tcPr>
          <w:p w14:paraId="301EDF17" w14:textId="77777777" w:rsidR="00721ECD" w:rsidRPr="00064D2A" w:rsidRDefault="00721ECD" w:rsidP="00994AAA">
            <w:pPr>
              <w:autoSpaceDE w:val="0"/>
              <w:autoSpaceDN w:val="0"/>
              <w:adjustRightInd w:val="0"/>
              <w:jc w:val="both"/>
              <w:rPr>
                <w:rFonts w:ascii="Arial" w:hAnsi="Arial" w:cs="Arial"/>
                <w:b/>
                <w:bCs/>
                <w:lang w:val="pl-PL"/>
              </w:rPr>
            </w:pPr>
            <w:r w:rsidRPr="00064D2A">
              <w:rPr>
                <w:rFonts w:ascii="Arial" w:hAnsi="Arial" w:cs="Arial"/>
                <w:b/>
                <w:bCs/>
                <w:lang w:val="pl-PL"/>
              </w:rPr>
              <w:t>Uwaga uwzględniona-</w:t>
            </w:r>
          </w:p>
          <w:p w14:paraId="25F3E64B" w14:textId="77777777" w:rsidR="00721ECD" w:rsidRPr="00064D2A" w:rsidRDefault="00721ECD" w:rsidP="00994AAA">
            <w:pPr>
              <w:autoSpaceDE w:val="0"/>
              <w:autoSpaceDN w:val="0"/>
              <w:adjustRightInd w:val="0"/>
              <w:jc w:val="both"/>
              <w:rPr>
                <w:rFonts w:ascii="Arial" w:hAnsi="Arial" w:cs="Arial"/>
                <w:lang w:val="pl-PL"/>
              </w:rPr>
            </w:pPr>
          </w:p>
          <w:p w14:paraId="7F874468" w14:textId="77777777" w:rsidR="00721ECD" w:rsidRDefault="00721ECD" w:rsidP="00994AAA">
            <w:pPr>
              <w:autoSpaceDE w:val="0"/>
              <w:autoSpaceDN w:val="0"/>
              <w:adjustRightInd w:val="0"/>
              <w:jc w:val="both"/>
              <w:rPr>
                <w:rFonts w:ascii="Arial" w:hAnsi="Arial" w:cs="Arial"/>
                <w:lang w:val="pl-PL"/>
              </w:rPr>
            </w:pPr>
            <w:r w:rsidRPr="00064D2A">
              <w:rPr>
                <w:rFonts w:ascii="Arial" w:hAnsi="Arial" w:cs="Arial"/>
                <w:lang w:val="pl-PL"/>
              </w:rPr>
              <w:t>zmieniono brzmienie ust. 6 wskazując kiedy wywóz produktów podwójnego zastosowania może odbywać się na podstawie zezwoleń generalnych.</w:t>
            </w:r>
          </w:p>
          <w:p w14:paraId="6C9B3015" w14:textId="77777777" w:rsidR="00122927" w:rsidRDefault="00122927" w:rsidP="00994AAA">
            <w:pPr>
              <w:autoSpaceDE w:val="0"/>
              <w:autoSpaceDN w:val="0"/>
              <w:adjustRightInd w:val="0"/>
              <w:jc w:val="both"/>
              <w:rPr>
                <w:rFonts w:ascii="Arial" w:hAnsi="Arial" w:cs="Arial"/>
                <w:lang w:val="pl-PL"/>
              </w:rPr>
            </w:pPr>
          </w:p>
          <w:p w14:paraId="4EA30A34" w14:textId="16363AED" w:rsidR="00122927" w:rsidRPr="00064D2A" w:rsidRDefault="00122927" w:rsidP="00994AAA">
            <w:pPr>
              <w:autoSpaceDE w:val="0"/>
              <w:autoSpaceDN w:val="0"/>
              <w:adjustRightInd w:val="0"/>
              <w:jc w:val="both"/>
              <w:rPr>
                <w:rFonts w:ascii="Arial" w:hAnsi="Arial" w:cs="Arial"/>
                <w:b/>
                <w:bCs/>
                <w:lang w:val="pl-PL"/>
              </w:rPr>
            </w:pPr>
            <w:r>
              <w:rPr>
                <w:rFonts w:ascii="Arial" w:hAnsi="Arial" w:cs="Arial"/>
                <w:lang w:val="pl-PL"/>
              </w:rPr>
              <w:t xml:space="preserve">Po uwagach RCL- 25.11.2024 – omówiono w uzasadnieniu. </w:t>
            </w:r>
          </w:p>
        </w:tc>
      </w:tr>
      <w:tr w:rsidR="00721ECD" w:rsidRPr="00064D2A" w14:paraId="023DD104" w14:textId="77777777" w:rsidTr="00064D2A">
        <w:tc>
          <w:tcPr>
            <w:tcW w:w="562" w:type="dxa"/>
          </w:tcPr>
          <w:p w14:paraId="12A1F9EA" w14:textId="5114D067" w:rsidR="00721ECD" w:rsidRPr="00064D2A" w:rsidRDefault="00721ECD" w:rsidP="00994AAA">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11.</w:t>
            </w:r>
          </w:p>
        </w:tc>
        <w:tc>
          <w:tcPr>
            <w:tcW w:w="1333" w:type="dxa"/>
          </w:tcPr>
          <w:p w14:paraId="6AFD33DD" w14:textId="60D56DD3" w:rsidR="00721ECD" w:rsidRPr="00064D2A" w:rsidRDefault="00721ECD" w:rsidP="00994AAA">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RCL</w:t>
            </w:r>
          </w:p>
        </w:tc>
        <w:tc>
          <w:tcPr>
            <w:tcW w:w="1395" w:type="dxa"/>
          </w:tcPr>
          <w:p w14:paraId="0EBB856C" w14:textId="7C35E411" w:rsidR="00721ECD" w:rsidRPr="00064D2A" w:rsidRDefault="00721ECD" w:rsidP="00994AAA">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Cały akt</w:t>
            </w:r>
          </w:p>
        </w:tc>
        <w:tc>
          <w:tcPr>
            <w:tcW w:w="3793" w:type="dxa"/>
          </w:tcPr>
          <w:p w14:paraId="6B0BEB28" w14:textId="77777777" w:rsidR="00721ECD" w:rsidRPr="00064D2A" w:rsidRDefault="00721ECD" w:rsidP="00C553D3">
            <w:pPr>
              <w:jc w:val="both"/>
              <w:rPr>
                <w:rFonts w:ascii="Arial" w:hAnsi="Arial" w:cs="Arial"/>
                <w:lang w:val="pl-PL"/>
              </w:rPr>
            </w:pPr>
            <w:r w:rsidRPr="005F4D75">
              <w:rPr>
                <w:rFonts w:ascii="Arial" w:hAnsi="Arial" w:cs="Arial"/>
                <w:lang w:val="pl-PL"/>
              </w:rPr>
              <w:t xml:space="preserve">Wyjaśnienia wymaga użycie w projekcie pojęć „decyzja” i „decyzja administracyjna”. </w:t>
            </w:r>
          </w:p>
          <w:p w14:paraId="700E0D82" w14:textId="77777777" w:rsidR="00721ECD" w:rsidRPr="00064D2A" w:rsidRDefault="00721ECD" w:rsidP="00C553D3">
            <w:pPr>
              <w:jc w:val="both"/>
              <w:rPr>
                <w:rFonts w:ascii="Arial" w:hAnsi="Arial" w:cs="Arial"/>
                <w:lang w:val="pl-PL"/>
              </w:rPr>
            </w:pPr>
          </w:p>
          <w:p w14:paraId="4AFA3582" w14:textId="662922D2" w:rsidR="00721ECD" w:rsidRPr="00064D2A" w:rsidRDefault="00721ECD" w:rsidP="00311254">
            <w:pPr>
              <w:jc w:val="both"/>
              <w:rPr>
                <w:rFonts w:ascii="Arial" w:hAnsi="Arial" w:cs="Arial"/>
                <w:b/>
                <w:bCs/>
                <w:lang w:val="pl-PL"/>
              </w:rPr>
            </w:pPr>
          </w:p>
        </w:tc>
        <w:tc>
          <w:tcPr>
            <w:tcW w:w="2693" w:type="dxa"/>
          </w:tcPr>
          <w:p w14:paraId="7BE39BAF" w14:textId="1B2AAACB" w:rsidR="00721ECD" w:rsidRPr="00064D2A" w:rsidRDefault="00721ECD" w:rsidP="008A4716">
            <w:pPr>
              <w:jc w:val="both"/>
              <w:rPr>
                <w:rFonts w:ascii="Arial" w:hAnsi="Arial" w:cs="Arial"/>
                <w:b/>
                <w:bCs/>
                <w:lang w:val="pl-PL"/>
              </w:rPr>
            </w:pPr>
            <w:r w:rsidRPr="005F4D75">
              <w:rPr>
                <w:rFonts w:ascii="Arial" w:hAnsi="Arial" w:cs="Arial"/>
                <w:lang w:val="pl-PL"/>
              </w:rPr>
              <w:t>Jak</w:t>
            </w:r>
            <w:r w:rsidRPr="00064D2A">
              <w:rPr>
                <w:rFonts w:ascii="Arial" w:hAnsi="Arial" w:cs="Arial"/>
                <w:lang w:val="pl-PL"/>
              </w:rPr>
              <w:t xml:space="preserve"> </w:t>
            </w:r>
            <w:r w:rsidRPr="005F4D75">
              <w:rPr>
                <w:rFonts w:ascii="Arial" w:hAnsi="Arial" w:cs="Arial"/>
                <w:lang w:val="pl-PL"/>
              </w:rPr>
              <w:t>się wydaje, w ślad za dotychczas stosowanym rozwiązaniem w ustawie o obrocie, pojęcie</w:t>
            </w:r>
            <w:r w:rsidRPr="00064D2A">
              <w:rPr>
                <w:rFonts w:ascii="Arial" w:hAnsi="Arial" w:cs="Arial"/>
                <w:lang w:val="pl-PL"/>
              </w:rPr>
              <w:t xml:space="preserve"> </w:t>
            </w:r>
            <w:r w:rsidRPr="005F4D75">
              <w:rPr>
                <w:rFonts w:ascii="Arial" w:hAnsi="Arial" w:cs="Arial"/>
                <w:lang w:val="pl-PL"/>
              </w:rPr>
              <w:t xml:space="preserve">„decyzja administracyjna” użyte jest </w:t>
            </w:r>
            <w:r w:rsidRPr="005F4D75">
              <w:rPr>
                <w:rFonts w:ascii="Arial" w:hAnsi="Arial" w:cs="Arial"/>
                <w:lang w:val="pl-PL"/>
              </w:rPr>
              <w:lastRenderedPageBreak/>
              <w:t>dla przypadków kiedy będzie miało mieć</w:t>
            </w:r>
            <w:r w:rsidRPr="00064D2A">
              <w:rPr>
                <w:rFonts w:ascii="Arial" w:hAnsi="Arial" w:cs="Arial"/>
                <w:lang w:val="pl-PL"/>
              </w:rPr>
              <w:t xml:space="preserve"> </w:t>
            </w:r>
            <w:r w:rsidRPr="005F4D75">
              <w:rPr>
                <w:rFonts w:ascii="Arial" w:hAnsi="Arial" w:cs="Arial"/>
                <w:lang w:val="pl-PL"/>
              </w:rPr>
              <w:t xml:space="preserve">zastosowanie postępowanie </w:t>
            </w:r>
            <w:r w:rsidRPr="00064D2A">
              <w:rPr>
                <w:rFonts w:ascii="Arial" w:hAnsi="Arial" w:cs="Arial"/>
                <w:lang w:val="pl-PL"/>
              </w:rPr>
              <w:t xml:space="preserve"> a</w:t>
            </w:r>
            <w:r w:rsidRPr="005F4D75">
              <w:rPr>
                <w:rFonts w:ascii="Arial" w:hAnsi="Arial" w:cs="Arial"/>
                <w:lang w:val="pl-PL"/>
              </w:rPr>
              <w:t>dministracyjne (ustawa – Kodeks postępowania</w:t>
            </w:r>
            <w:r w:rsidRPr="00064D2A">
              <w:rPr>
                <w:rFonts w:ascii="Arial" w:hAnsi="Arial" w:cs="Arial"/>
                <w:lang w:val="pl-PL"/>
              </w:rPr>
              <w:t xml:space="preserve"> </w:t>
            </w:r>
            <w:r w:rsidRPr="005F4D75">
              <w:rPr>
                <w:rFonts w:ascii="Arial" w:hAnsi="Arial" w:cs="Arial"/>
                <w:lang w:val="pl-PL"/>
              </w:rPr>
              <w:t>administracyjnego), nie jest zatem jasne wprowadzenie dodatkowo pojęcia „decyzja”</w:t>
            </w:r>
            <w:r w:rsidRPr="00064D2A">
              <w:rPr>
                <w:rFonts w:ascii="Arial" w:hAnsi="Arial" w:cs="Arial"/>
                <w:lang w:val="pl-PL"/>
              </w:rPr>
              <w:t xml:space="preserve"> </w:t>
            </w:r>
            <w:r w:rsidRPr="005F4D75">
              <w:rPr>
                <w:rFonts w:ascii="Arial" w:hAnsi="Arial" w:cs="Arial"/>
                <w:lang w:val="pl-PL"/>
              </w:rPr>
              <w:t>(przykładowo art. 17a ust. 1 pkt 3 ustawy o obrocie) Kwestia ta wymaga wyjaśnienia albo</w:t>
            </w:r>
            <w:r w:rsidRPr="00064D2A">
              <w:rPr>
                <w:rFonts w:ascii="Arial" w:hAnsi="Arial" w:cs="Arial"/>
                <w:lang w:val="pl-PL"/>
              </w:rPr>
              <w:t xml:space="preserve"> </w:t>
            </w:r>
            <w:r w:rsidRPr="005F4D75">
              <w:rPr>
                <w:rFonts w:ascii="Arial" w:hAnsi="Arial" w:cs="Arial"/>
                <w:lang w:val="pl-PL"/>
              </w:rPr>
              <w:t>skorygowania przez ujednolicenie projektu.</w:t>
            </w:r>
          </w:p>
        </w:tc>
        <w:tc>
          <w:tcPr>
            <w:tcW w:w="4111" w:type="dxa"/>
          </w:tcPr>
          <w:p w14:paraId="5DBEB52F" w14:textId="77777777" w:rsidR="00721ECD" w:rsidRPr="00064D2A" w:rsidRDefault="00721ECD" w:rsidP="00994AAA">
            <w:pPr>
              <w:autoSpaceDE w:val="0"/>
              <w:autoSpaceDN w:val="0"/>
              <w:adjustRightInd w:val="0"/>
              <w:jc w:val="both"/>
              <w:rPr>
                <w:rFonts w:ascii="Arial" w:hAnsi="Arial" w:cs="Arial"/>
                <w:b/>
                <w:bCs/>
                <w:lang w:val="pl-PL"/>
              </w:rPr>
            </w:pPr>
            <w:r w:rsidRPr="00064D2A">
              <w:rPr>
                <w:rFonts w:ascii="Arial" w:hAnsi="Arial" w:cs="Arial"/>
                <w:b/>
                <w:bCs/>
                <w:lang w:val="pl-PL"/>
              </w:rPr>
              <w:lastRenderedPageBreak/>
              <w:t>Wyjaśnienie-</w:t>
            </w:r>
          </w:p>
          <w:p w14:paraId="7D4E913F" w14:textId="77777777" w:rsidR="00721ECD" w:rsidRPr="00064D2A" w:rsidRDefault="00721ECD" w:rsidP="00994AAA">
            <w:pPr>
              <w:autoSpaceDE w:val="0"/>
              <w:autoSpaceDN w:val="0"/>
              <w:adjustRightInd w:val="0"/>
              <w:jc w:val="both"/>
              <w:rPr>
                <w:rFonts w:ascii="Arial" w:hAnsi="Arial" w:cs="Arial"/>
                <w:b/>
                <w:bCs/>
                <w:lang w:val="pl-PL"/>
              </w:rPr>
            </w:pPr>
          </w:p>
          <w:p w14:paraId="6F3FE6EE" w14:textId="5481B87E" w:rsidR="00721ECD" w:rsidRPr="00064D2A" w:rsidRDefault="00721ECD" w:rsidP="001A1A33">
            <w:pPr>
              <w:autoSpaceDE w:val="0"/>
              <w:autoSpaceDN w:val="0"/>
              <w:adjustRightInd w:val="0"/>
              <w:jc w:val="both"/>
              <w:rPr>
                <w:rFonts w:ascii="Arial" w:hAnsi="Arial" w:cs="Arial"/>
                <w:lang w:val="pl-PL"/>
              </w:rPr>
            </w:pPr>
            <w:r w:rsidRPr="00064D2A">
              <w:rPr>
                <w:rFonts w:ascii="Arial" w:hAnsi="Arial" w:cs="Arial"/>
                <w:lang w:val="pl-PL"/>
              </w:rPr>
              <w:t xml:space="preserve">te „decyzje” nie są tożsame. Konieczność uzyskania zezwolenia wyrażana jest </w:t>
            </w:r>
            <w:r w:rsidRPr="00064D2A">
              <w:rPr>
                <w:rFonts w:ascii="Arial" w:hAnsi="Arial" w:cs="Arial"/>
                <w:lang w:val="pl-PL"/>
              </w:rPr>
              <w:lastRenderedPageBreak/>
              <w:t>poprzez poinformowanie przedsiębiorcy o tym, że zachodzą odpowiednie przesłan</w:t>
            </w:r>
            <w:r w:rsidR="00122927">
              <w:rPr>
                <w:rFonts w:ascii="Arial" w:hAnsi="Arial" w:cs="Arial"/>
                <w:lang w:val="pl-PL"/>
              </w:rPr>
              <w:t>k</w:t>
            </w:r>
            <w:r w:rsidRPr="00064D2A">
              <w:rPr>
                <w:rFonts w:ascii="Arial" w:hAnsi="Arial" w:cs="Arial"/>
                <w:lang w:val="pl-PL"/>
              </w:rPr>
              <w:t>i.</w:t>
            </w:r>
          </w:p>
          <w:p w14:paraId="19E61A8D" w14:textId="31A376C6" w:rsidR="00721ECD" w:rsidRPr="00064D2A" w:rsidRDefault="00721ECD" w:rsidP="00994AAA">
            <w:pPr>
              <w:autoSpaceDE w:val="0"/>
              <w:autoSpaceDN w:val="0"/>
              <w:adjustRightInd w:val="0"/>
              <w:jc w:val="both"/>
              <w:rPr>
                <w:rFonts w:ascii="Arial" w:hAnsi="Arial" w:cs="Arial"/>
                <w:lang w:val="pl-PL"/>
              </w:rPr>
            </w:pPr>
            <w:r w:rsidRPr="00064D2A">
              <w:rPr>
                <w:rFonts w:ascii="Arial" w:hAnsi="Arial" w:cs="Arial"/>
                <w:lang w:val="pl-PL"/>
              </w:rPr>
              <w:t xml:space="preserve">Wnosimy o </w:t>
            </w:r>
            <w:r w:rsidRPr="001A1A33">
              <w:rPr>
                <w:rFonts w:ascii="Arial" w:hAnsi="Arial" w:cs="Arial"/>
                <w:lang w:val="pl-PL"/>
              </w:rPr>
              <w:t>pozostawieni</w:t>
            </w:r>
            <w:r w:rsidRPr="00064D2A">
              <w:rPr>
                <w:rFonts w:ascii="Arial" w:hAnsi="Arial" w:cs="Arial"/>
                <w:lang w:val="pl-PL"/>
              </w:rPr>
              <w:t>a</w:t>
            </w:r>
            <w:r w:rsidRPr="001A1A33">
              <w:rPr>
                <w:rFonts w:ascii="Arial" w:hAnsi="Arial" w:cs="Arial"/>
                <w:lang w:val="pl-PL"/>
              </w:rPr>
              <w:t xml:space="preserve"> określenia „decyzja”</w:t>
            </w:r>
            <w:r w:rsidRPr="00064D2A">
              <w:rPr>
                <w:rFonts w:ascii="Arial" w:hAnsi="Arial" w:cs="Arial"/>
                <w:lang w:val="pl-PL"/>
              </w:rPr>
              <w:t xml:space="preserve"> tam gdzie to jest użyte</w:t>
            </w:r>
            <w:r w:rsidRPr="001A1A33">
              <w:rPr>
                <w:rFonts w:ascii="Arial" w:hAnsi="Arial" w:cs="Arial"/>
                <w:lang w:val="pl-PL"/>
              </w:rPr>
              <w:t xml:space="preserve"> zgodnie z treścią zapisów rozp. 2021/821 </w:t>
            </w:r>
            <w:r w:rsidRPr="00064D2A">
              <w:rPr>
                <w:rFonts w:ascii="Arial" w:hAnsi="Arial" w:cs="Arial"/>
                <w:lang w:val="pl-PL"/>
              </w:rPr>
              <w:t xml:space="preserve">cyt. rozporządzenie „organ podejmuje decyzję o konieczności uzyskania zezwolenia i informuje o tym przedsiębiorcę”. (w znaczeniu zabiera stanowisko), </w:t>
            </w:r>
            <w:r w:rsidRPr="001A1A33">
              <w:rPr>
                <w:rFonts w:ascii="Arial" w:hAnsi="Arial" w:cs="Arial"/>
                <w:lang w:val="pl-PL"/>
              </w:rPr>
              <w:t xml:space="preserve"> a wydaje decyzję</w:t>
            </w:r>
            <w:r w:rsidRPr="00064D2A">
              <w:rPr>
                <w:rFonts w:ascii="Arial" w:hAnsi="Arial" w:cs="Arial"/>
                <w:lang w:val="pl-PL"/>
              </w:rPr>
              <w:t xml:space="preserve"> administracyjną (w znaczeniu z kpa)</w:t>
            </w:r>
            <w:r w:rsidRPr="001A1A33">
              <w:rPr>
                <w:rFonts w:ascii="Arial" w:hAnsi="Arial" w:cs="Arial"/>
                <w:lang w:val="pl-PL"/>
              </w:rPr>
              <w:t xml:space="preserve"> - jest </w:t>
            </w:r>
            <w:r w:rsidRPr="00064D2A">
              <w:rPr>
                <w:rFonts w:ascii="Arial" w:hAnsi="Arial" w:cs="Arial"/>
                <w:lang w:val="pl-PL"/>
              </w:rPr>
              <w:t>dla nas rozróżniające. Tam gdzie należy „wydać decyzje administracyjną” jest to tak wskazane.</w:t>
            </w:r>
          </w:p>
          <w:p w14:paraId="11866690" w14:textId="77777777" w:rsidR="00721ECD" w:rsidRDefault="00721ECD" w:rsidP="00994AAA">
            <w:pPr>
              <w:autoSpaceDE w:val="0"/>
              <w:autoSpaceDN w:val="0"/>
              <w:adjustRightInd w:val="0"/>
              <w:jc w:val="both"/>
              <w:rPr>
                <w:rFonts w:ascii="Arial" w:hAnsi="Arial" w:cs="Arial"/>
                <w:lang w:val="pl-PL"/>
              </w:rPr>
            </w:pPr>
          </w:p>
          <w:p w14:paraId="3B9FF319" w14:textId="00DC48E6" w:rsidR="00122927" w:rsidRPr="00064D2A" w:rsidRDefault="00122927" w:rsidP="00994AAA">
            <w:pPr>
              <w:autoSpaceDE w:val="0"/>
              <w:autoSpaceDN w:val="0"/>
              <w:adjustRightInd w:val="0"/>
              <w:jc w:val="both"/>
              <w:rPr>
                <w:rFonts w:ascii="Arial" w:hAnsi="Arial" w:cs="Arial"/>
                <w:lang w:val="pl-PL"/>
              </w:rPr>
            </w:pPr>
            <w:r>
              <w:rPr>
                <w:rFonts w:ascii="Arial" w:hAnsi="Arial" w:cs="Arial"/>
                <w:lang w:val="pl-PL"/>
              </w:rPr>
              <w:t xml:space="preserve">Do wyjaśnienia na Komicji Prawniczej. </w:t>
            </w:r>
          </w:p>
        </w:tc>
      </w:tr>
      <w:tr w:rsidR="00721ECD" w:rsidRPr="00064D2A" w14:paraId="5B5E323A" w14:textId="77777777" w:rsidTr="00064D2A">
        <w:tc>
          <w:tcPr>
            <w:tcW w:w="562" w:type="dxa"/>
          </w:tcPr>
          <w:p w14:paraId="18882C25" w14:textId="5F457D32" w:rsidR="00721ECD" w:rsidRPr="00064D2A" w:rsidRDefault="00721ECD" w:rsidP="00994AAA">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lastRenderedPageBreak/>
              <w:t>12.</w:t>
            </w:r>
          </w:p>
        </w:tc>
        <w:tc>
          <w:tcPr>
            <w:tcW w:w="1333" w:type="dxa"/>
          </w:tcPr>
          <w:p w14:paraId="3B1248EF" w14:textId="2CEE8EC9" w:rsidR="00721ECD" w:rsidRPr="00064D2A" w:rsidRDefault="00721ECD" w:rsidP="00994AAA">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RCL</w:t>
            </w:r>
          </w:p>
        </w:tc>
        <w:tc>
          <w:tcPr>
            <w:tcW w:w="1395" w:type="dxa"/>
          </w:tcPr>
          <w:p w14:paraId="4784B9DD" w14:textId="2E8205AB" w:rsidR="00721ECD" w:rsidRPr="00064D2A" w:rsidRDefault="00721ECD" w:rsidP="00994AAA">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Art. 1 pkt 13 - w odniesieniu do art. 23 ust. 6 ustawy o obrocie z zagranicą</w:t>
            </w:r>
          </w:p>
        </w:tc>
        <w:tc>
          <w:tcPr>
            <w:tcW w:w="3793" w:type="dxa"/>
          </w:tcPr>
          <w:p w14:paraId="3A38BC20" w14:textId="77777777" w:rsidR="00721ECD" w:rsidRPr="005F4D75" w:rsidRDefault="00721ECD" w:rsidP="00C553D3">
            <w:pPr>
              <w:jc w:val="both"/>
              <w:rPr>
                <w:rFonts w:ascii="Arial" w:hAnsi="Arial" w:cs="Arial"/>
                <w:lang w:val="pl-PL"/>
              </w:rPr>
            </w:pPr>
            <w:r w:rsidRPr="005F4D75">
              <w:rPr>
                <w:rFonts w:ascii="Arial" w:hAnsi="Arial" w:cs="Arial"/>
                <w:lang w:val="pl-PL"/>
              </w:rPr>
              <w:t>Zgodnie z wprowadzoną zmianą w art. 23 ust. 6 ustawy o obrocie oświadczenie końcowego</w:t>
            </w:r>
          </w:p>
          <w:p w14:paraId="1F440548" w14:textId="43DB9A30" w:rsidR="00721ECD" w:rsidRPr="00064D2A" w:rsidRDefault="00721ECD" w:rsidP="00832647">
            <w:pPr>
              <w:jc w:val="both"/>
              <w:rPr>
                <w:rFonts w:ascii="Arial" w:hAnsi="Arial" w:cs="Arial"/>
                <w:lang w:val="pl-PL"/>
              </w:rPr>
            </w:pPr>
            <w:r w:rsidRPr="005F4D75">
              <w:rPr>
                <w:rFonts w:ascii="Arial" w:hAnsi="Arial" w:cs="Arial"/>
                <w:lang w:val="pl-PL"/>
              </w:rPr>
              <w:t>użytkownika podlegać będzie legalizacji przez konsula w sposób określony w art. 31</w:t>
            </w:r>
            <w:r w:rsidRPr="00064D2A">
              <w:rPr>
                <w:rFonts w:ascii="Arial" w:hAnsi="Arial" w:cs="Arial"/>
                <w:lang w:val="pl-PL"/>
              </w:rPr>
              <w:t xml:space="preserve"> </w:t>
            </w:r>
            <w:r w:rsidRPr="005F4D75">
              <w:rPr>
                <w:rFonts w:ascii="Arial" w:hAnsi="Arial" w:cs="Arial"/>
                <w:lang w:val="pl-PL"/>
              </w:rPr>
              <w:t xml:space="preserve">ustawy – Prawo konsularne. </w:t>
            </w:r>
          </w:p>
          <w:p w14:paraId="5B82243F" w14:textId="67106944" w:rsidR="00721ECD" w:rsidRPr="005F4D75" w:rsidRDefault="00721ECD" w:rsidP="00C553D3">
            <w:pPr>
              <w:jc w:val="both"/>
              <w:rPr>
                <w:rFonts w:ascii="Arial" w:hAnsi="Arial" w:cs="Arial"/>
                <w:lang w:val="pl-PL"/>
              </w:rPr>
            </w:pPr>
          </w:p>
          <w:p w14:paraId="49DB203C" w14:textId="135BF6E7" w:rsidR="00721ECD" w:rsidRPr="00064D2A" w:rsidRDefault="00721ECD" w:rsidP="00311254">
            <w:pPr>
              <w:jc w:val="both"/>
              <w:rPr>
                <w:rFonts w:ascii="Arial" w:hAnsi="Arial" w:cs="Arial"/>
                <w:b/>
                <w:bCs/>
                <w:lang w:val="pl-PL"/>
              </w:rPr>
            </w:pPr>
          </w:p>
        </w:tc>
        <w:tc>
          <w:tcPr>
            <w:tcW w:w="2693" w:type="dxa"/>
          </w:tcPr>
          <w:p w14:paraId="2FEC6E16" w14:textId="77777777" w:rsidR="00721ECD" w:rsidRPr="005F4D75" w:rsidRDefault="00721ECD" w:rsidP="00832647">
            <w:pPr>
              <w:jc w:val="both"/>
              <w:rPr>
                <w:rFonts w:ascii="Arial" w:hAnsi="Arial" w:cs="Arial"/>
                <w:lang w:val="pl-PL"/>
              </w:rPr>
            </w:pPr>
            <w:r w:rsidRPr="005F4D75">
              <w:rPr>
                <w:rFonts w:ascii="Arial" w:hAnsi="Arial" w:cs="Arial"/>
                <w:lang w:val="pl-PL"/>
              </w:rPr>
              <w:t>Zauważyć jednak należy, że legalizacja dokumentów jest</w:t>
            </w:r>
            <w:r w:rsidRPr="00064D2A">
              <w:rPr>
                <w:rFonts w:ascii="Arial" w:hAnsi="Arial" w:cs="Arial"/>
                <w:lang w:val="pl-PL"/>
              </w:rPr>
              <w:t xml:space="preserve"> </w:t>
            </w:r>
            <w:r w:rsidRPr="005F4D75">
              <w:rPr>
                <w:rFonts w:ascii="Arial" w:hAnsi="Arial" w:cs="Arial"/>
                <w:lang w:val="pl-PL"/>
              </w:rPr>
              <w:t>regulowana w art. 32 ustawy – Prawo konsularne i dotyczy dokumentu urzędowego, zaś</w:t>
            </w:r>
          </w:p>
          <w:p w14:paraId="76708C8A" w14:textId="5E9B298E" w:rsidR="00721ECD" w:rsidRPr="00064D2A" w:rsidRDefault="00721ECD" w:rsidP="00832647">
            <w:pPr>
              <w:jc w:val="both"/>
              <w:rPr>
                <w:rFonts w:ascii="Arial" w:hAnsi="Arial" w:cs="Arial"/>
                <w:b/>
                <w:bCs/>
                <w:lang w:val="pl-PL"/>
              </w:rPr>
            </w:pPr>
            <w:r w:rsidRPr="005F4D75">
              <w:rPr>
                <w:rFonts w:ascii="Arial" w:hAnsi="Arial" w:cs="Arial"/>
                <w:lang w:val="pl-PL"/>
              </w:rPr>
              <w:t>zgodnie z art. 31 ust. 1 pkt 2 ustawy – Prawo konsularne konsul sporządza i poświadcza</w:t>
            </w:r>
            <w:r w:rsidRPr="00064D2A">
              <w:rPr>
                <w:rFonts w:ascii="Arial" w:hAnsi="Arial" w:cs="Arial"/>
                <w:lang w:val="pl-PL"/>
              </w:rPr>
              <w:t xml:space="preserve"> </w:t>
            </w:r>
            <w:r w:rsidRPr="005F4D75">
              <w:rPr>
                <w:rFonts w:ascii="Arial" w:hAnsi="Arial" w:cs="Arial"/>
                <w:lang w:val="pl-PL"/>
              </w:rPr>
              <w:t>odpisy dokumentów sporządzonych w języku urzędowym lub powszechnie używanym w</w:t>
            </w:r>
            <w:r w:rsidRPr="00064D2A">
              <w:rPr>
                <w:rFonts w:ascii="Arial" w:hAnsi="Arial" w:cs="Arial"/>
                <w:lang w:val="pl-PL"/>
              </w:rPr>
              <w:t xml:space="preserve"> </w:t>
            </w:r>
            <w:r w:rsidRPr="005F4D75">
              <w:rPr>
                <w:rFonts w:ascii="Arial" w:hAnsi="Arial" w:cs="Arial"/>
                <w:lang w:val="pl-PL"/>
              </w:rPr>
              <w:t>państwie przyjmującym, a także sprawdza i poświadcza odpisy dokumentów</w:t>
            </w:r>
            <w:r w:rsidRPr="00064D2A">
              <w:rPr>
                <w:rFonts w:ascii="Arial" w:hAnsi="Arial" w:cs="Arial"/>
                <w:lang w:val="pl-PL"/>
              </w:rPr>
              <w:t xml:space="preserve"> </w:t>
            </w:r>
            <w:r w:rsidRPr="005F4D75">
              <w:rPr>
                <w:rFonts w:ascii="Arial" w:hAnsi="Arial" w:cs="Arial"/>
                <w:lang w:val="pl-PL"/>
              </w:rPr>
              <w:t>sporządzonych w języku urzędowym lub powszechnie używanym w państwie</w:t>
            </w:r>
            <w:r w:rsidRPr="00064D2A">
              <w:rPr>
                <w:rFonts w:ascii="Arial" w:hAnsi="Arial" w:cs="Arial"/>
                <w:lang w:val="pl-PL"/>
              </w:rPr>
              <w:t xml:space="preserve"> </w:t>
            </w:r>
            <w:r w:rsidRPr="005F4D75">
              <w:rPr>
                <w:rFonts w:ascii="Arial" w:hAnsi="Arial" w:cs="Arial"/>
                <w:lang w:val="pl-PL"/>
              </w:rPr>
              <w:t>Zauważyć jednak należy, że legalizacja dokumentów jest</w:t>
            </w:r>
            <w:r w:rsidRPr="00064D2A">
              <w:rPr>
                <w:rFonts w:ascii="Arial" w:hAnsi="Arial" w:cs="Arial"/>
                <w:lang w:val="pl-PL"/>
              </w:rPr>
              <w:t xml:space="preserve"> </w:t>
            </w:r>
            <w:r w:rsidRPr="005F4D75">
              <w:rPr>
                <w:rFonts w:ascii="Arial" w:hAnsi="Arial" w:cs="Arial"/>
                <w:lang w:val="pl-PL"/>
              </w:rPr>
              <w:t xml:space="preserve">regulowana w art. 32 ustawy – Prawo konsularne </w:t>
            </w:r>
            <w:r w:rsidRPr="005F4D75">
              <w:rPr>
                <w:rFonts w:ascii="Arial" w:hAnsi="Arial" w:cs="Arial"/>
                <w:lang w:val="pl-PL"/>
              </w:rPr>
              <w:lastRenderedPageBreak/>
              <w:t>i dotyczy dokumentu urzędowego, zaś</w:t>
            </w:r>
            <w:r w:rsidRPr="00064D2A">
              <w:rPr>
                <w:rFonts w:ascii="Arial" w:hAnsi="Arial" w:cs="Arial"/>
                <w:lang w:val="pl-PL"/>
              </w:rPr>
              <w:t xml:space="preserve"> </w:t>
            </w:r>
            <w:r w:rsidRPr="005F4D75">
              <w:rPr>
                <w:rFonts w:ascii="Arial" w:hAnsi="Arial" w:cs="Arial"/>
                <w:lang w:val="pl-PL"/>
              </w:rPr>
              <w:t>zgodnie z art. 31 ust. 1 pkt 2 ustawy – Prawo konsularne konsul sporządza i poświadcza</w:t>
            </w:r>
            <w:r w:rsidRPr="00064D2A">
              <w:rPr>
                <w:rFonts w:ascii="Arial" w:hAnsi="Arial" w:cs="Arial"/>
                <w:lang w:val="pl-PL"/>
              </w:rPr>
              <w:t xml:space="preserve"> </w:t>
            </w:r>
            <w:r w:rsidRPr="005F4D75">
              <w:rPr>
                <w:rFonts w:ascii="Arial" w:hAnsi="Arial" w:cs="Arial"/>
                <w:lang w:val="pl-PL"/>
              </w:rPr>
              <w:t>odpisy dokumentów sporządzonych w języku urzędowym lub powszechnie używanym w</w:t>
            </w:r>
            <w:r w:rsidRPr="00064D2A">
              <w:rPr>
                <w:rFonts w:ascii="Arial" w:hAnsi="Arial" w:cs="Arial"/>
                <w:lang w:val="pl-PL"/>
              </w:rPr>
              <w:t xml:space="preserve"> </w:t>
            </w:r>
            <w:r w:rsidRPr="005F4D75">
              <w:rPr>
                <w:rFonts w:ascii="Arial" w:hAnsi="Arial" w:cs="Arial"/>
                <w:lang w:val="pl-PL"/>
              </w:rPr>
              <w:t>państwie przyjmującym, a także sprawdza i poświadcza odpisy dokumentów</w:t>
            </w:r>
            <w:r w:rsidRPr="00064D2A">
              <w:rPr>
                <w:rFonts w:ascii="Arial" w:hAnsi="Arial" w:cs="Arial"/>
                <w:lang w:val="pl-PL"/>
              </w:rPr>
              <w:t xml:space="preserve"> </w:t>
            </w:r>
            <w:r w:rsidRPr="005F4D75">
              <w:rPr>
                <w:rFonts w:ascii="Arial" w:hAnsi="Arial" w:cs="Arial"/>
                <w:lang w:val="pl-PL"/>
              </w:rPr>
              <w:t>sporządzonych w języku urzędowym lub powszechnie używanym w państwie</w:t>
            </w:r>
            <w:r w:rsidRPr="00064D2A">
              <w:rPr>
                <w:rFonts w:ascii="Arial" w:hAnsi="Arial" w:cs="Arial"/>
                <w:lang w:val="pl-PL"/>
              </w:rPr>
              <w:t>.</w:t>
            </w:r>
          </w:p>
        </w:tc>
        <w:tc>
          <w:tcPr>
            <w:tcW w:w="4111" w:type="dxa"/>
          </w:tcPr>
          <w:p w14:paraId="07E49A45" w14:textId="77777777" w:rsidR="00721ECD" w:rsidRPr="00064D2A" w:rsidRDefault="00721ECD" w:rsidP="00994AAA">
            <w:pPr>
              <w:autoSpaceDE w:val="0"/>
              <w:autoSpaceDN w:val="0"/>
              <w:adjustRightInd w:val="0"/>
              <w:jc w:val="both"/>
              <w:rPr>
                <w:rFonts w:ascii="Arial" w:hAnsi="Arial" w:cs="Arial"/>
                <w:b/>
                <w:bCs/>
                <w:lang w:val="pl-PL"/>
              </w:rPr>
            </w:pPr>
            <w:r w:rsidRPr="00064D2A">
              <w:rPr>
                <w:rFonts w:ascii="Arial" w:hAnsi="Arial" w:cs="Arial"/>
                <w:b/>
                <w:bCs/>
                <w:lang w:val="pl-PL"/>
              </w:rPr>
              <w:lastRenderedPageBreak/>
              <w:t xml:space="preserve">Uwaga uwzględniona- </w:t>
            </w:r>
          </w:p>
          <w:p w14:paraId="3D368624" w14:textId="77777777" w:rsidR="00721ECD" w:rsidRPr="00064D2A" w:rsidRDefault="00721ECD" w:rsidP="00994AAA">
            <w:pPr>
              <w:autoSpaceDE w:val="0"/>
              <w:autoSpaceDN w:val="0"/>
              <w:adjustRightInd w:val="0"/>
              <w:jc w:val="both"/>
              <w:rPr>
                <w:rFonts w:ascii="Arial" w:hAnsi="Arial" w:cs="Arial"/>
                <w:lang w:val="pl-PL"/>
              </w:rPr>
            </w:pPr>
          </w:p>
          <w:p w14:paraId="7CD03A6C" w14:textId="67FF0382" w:rsidR="00721ECD" w:rsidRPr="00064D2A" w:rsidRDefault="00721ECD" w:rsidP="00994AAA">
            <w:pPr>
              <w:autoSpaceDE w:val="0"/>
              <w:autoSpaceDN w:val="0"/>
              <w:adjustRightInd w:val="0"/>
              <w:jc w:val="both"/>
              <w:rPr>
                <w:rFonts w:ascii="Arial" w:hAnsi="Arial" w:cs="Arial"/>
                <w:b/>
                <w:bCs/>
                <w:lang w:val="pl-PL"/>
              </w:rPr>
            </w:pPr>
            <w:r w:rsidRPr="00064D2A">
              <w:rPr>
                <w:rFonts w:ascii="Arial" w:hAnsi="Arial" w:cs="Arial"/>
                <w:lang w:val="pl-PL"/>
              </w:rPr>
              <w:t>zmieniono na art. 32</w:t>
            </w:r>
          </w:p>
        </w:tc>
      </w:tr>
      <w:tr w:rsidR="00721ECD" w:rsidRPr="00064D2A" w14:paraId="69CE32E6" w14:textId="77777777" w:rsidTr="00064D2A">
        <w:tc>
          <w:tcPr>
            <w:tcW w:w="562" w:type="dxa"/>
          </w:tcPr>
          <w:p w14:paraId="47B9B19D" w14:textId="590A9EFA" w:rsidR="00721ECD" w:rsidRPr="00064D2A" w:rsidRDefault="00721ECD" w:rsidP="00C35997">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13.</w:t>
            </w:r>
          </w:p>
        </w:tc>
        <w:tc>
          <w:tcPr>
            <w:tcW w:w="1333" w:type="dxa"/>
          </w:tcPr>
          <w:p w14:paraId="39DFA602" w14:textId="07C610CF" w:rsidR="00721ECD" w:rsidRPr="00064D2A" w:rsidRDefault="00721ECD" w:rsidP="00C35997">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Minister ds. UE-KPRM</w:t>
            </w:r>
          </w:p>
        </w:tc>
        <w:tc>
          <w:tcPr>
            <w:tcW w:w="1395" w:type="dxa"/>
          </w:tcPr>
          <w:p w14:paraId="53F069A0" w14:textId="1397AE81" w:rsidR="00721ECD" w:rsidRPr="00064D2A" w:rsidRDefault="00721ECD" w:rsidP="00C35997">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Art. 1 pkt 7 lit. b) – w odniesieniu do art. 14 ust. 5b ustawy o obrocie z zagranicą</w:t>
            </w:r>
          </w:p>
        </w:tc>
        <w:tc>
          <w:tcPr>
            <w:tcW w:w="3793" w:type="dxa"/>
          </w:tcPr>
          <w:p w14:paraId="3440A69B" w14:textId="77777777" w:rsidR="00721ECD" w:rsidRPr="00321655" w:rsidRDefault="00721ECD" w:rsidP="00C35997">
            <w:pPr>
              <w:jc w:val="both"/>
              <w:rPr>
                <w:rFonts w:ascii="Arial" w:hAnsi="Arial" w:cs="Arial"/>
                <w:i/>
                <w:iCs/>
                <w:lang w:val="pl-PL"/>
              </w:rPr>
            </w:pPr>
            <w:r w:rsidRPr="00321655">
              <w:rPr>
                <w:rFonts w:ascii="Arial" w:hAnsi="Arial" w:cs="Arial"/>
                <w:lang w:val="pl-PL"/>
              </w:rPr>
              <w:t xml:space="preserve">Zgodnie z projektowanym art. 14 ust. 5b (art. 1 pkt 7 projektu) zmienianej </w:t>
            </w:r>
            <w:r w:rsidRPr="00321655">
              <w:rPr>
                <w:rFonts w:ascii="Arial" w:hAnsi="Arial" w:cs="Arial"/>
                <w:i/>
                <w:iCs/>
                <w:lang w:val="pl-PL"/>
              </w:rPr>
              <w:t>ustawy</w:t>
            </w:r>
          </w:p>
          <w:p w14:paraId="2F4447A0" w14:textId="77777777" w:rsidR="00721ECD" w:rsidRPr="00321655" w:rsidRDefault="00721ECD" w:rsidP="00C35997">
            <w:pPr>
              <w:jc w:val="both"/>
              <w:rPr>
                <w:rFonts w:ascii="Arial" w:hAnsi="Arial" w:cs="Arial"/>
                <w:i/>
                <w:iCs/>
                <w:lang w:val="pl-PL"/>
              </w:rPr>
            </w:pPr>
            <w:r w:rsidRPr="00321655">
              <w:rPr>
                <w:rFonts w:ascii="Arial" w:hAnsi="Arial" w:cs="Arial"/>
                <w:i/>
                <w:iCs/>
                <w:lang w:val="pl-PL"/>
              </w:rPr>
              <w:t>o obrocie z zagranicą towarami, technologiami i usługami o znaczeniu strategicznym dla</w:t>
            </w:r>
          </w:p>
          <w:p w14:paraId="697C8B41" w14:textId="77777777" w:rsidR="00721ECD" w:rsidRPr="00321655" w:rsidRDefault="00721ECD" w:rsidP="00C35997">
            <w:pPr>
              <w:jc w:val="both"/>
              <w:rPr>
                <w:rFonts w:ascii="Arial" w:hAnsi="Arial" w:cs="Arial"/>
                <w:i/>
                <w:iCs/>
                <w:lang w:val="pl-PL"/>
              </w:rPr>
            </w:pPr>
            <w:r w:rsidRPr="00321655">
              <w:rPr>
                <w:rFonts w:ascii="Arial" w:hAnsi="Arial" w:cs="Arial"/>
                <w:i/>
                <w:iCs/>
                <w:lang w:val="pl-PL"/>
              </w:rPr>
              <w:t>bezpieczeństwa państwa, a także dla utrzymania międzynarodowego pokoju</w:t>
            </w:r>
          </w:p>
          <w:p w14:paraId="162A354F" w14:textId="3FE601E0" w:rsidR="00721ECD" w:rsidRPr="00321655" w:rsidRDefault="00721ECD" w:rsidP="00C35997">
            <w:pPr>
              <w:jc w:val="both"/>
              <w:rPr>
                <w:rFonts w:ascii="Arial" w:hAnsi="Arial" w:cs="Arial"/>
                <w:lang w:val="pl-PL"/>
              </w:rPr>
            </w:pPr>
            <w:r w:rsidRPr="00321655">
              <w:rPr>
                <w:rFonts w:ascii="Arial" w:hAnsi="Arial" w:cs="Arial"/>
                <w:i/>
                <w:iCs/>
                <w:lang w:val="pl-PL"/>
              </w:rPr>
              <w:t xml:space="preserve">i bezpieczeństwa </w:t>
            </w:r>
            <w:r w:rsidRPr="00321655">
              <w:rPr>
                <w:rFonts w:ascii="Arial" w:hAnsi="Arial" w:cs="Arial"/>
                <w:lang w:val="pl-PL"/>
              </w:rPr>
              <w:t>(dalej: „</w:t>
            </w:r>
            <w:r w:rsidRPr="00321655">
              <w:rPr>
                <w:rFonts w:ascii="Arial" w:hAnsi="Arial" w:cs="Arial"/>
                <w:i/>
                <w:iCs/>
                <w:lang w:val="pl-PL"/>
              </w:rPr>
              <w:t>ustawa o obrocie z zagranicą</w:t>
            </w:r>
            <w:r w:rsidRPr="00321655">
              <w:rPr>
                <w:rFonts w:ascii="Arial" w:hAnsi="Arial" w:cs="Arial"/>
                <w:lang w:val="pl-PL"/>
              </w:rPr>
              <w:t>”), w przypadku obrotu</w:t>
            </w:r>
            <w:r w:rsidRPr="00064D2A">
              <w:rPr>
                <w:rFonts w:ascii="Arial" w:hAnsi="Arial" w:cs="Arial"/>
                <w:lang w:val="pl-PL"/>
              </w:rPr>
              <w:t xml:space="preserve"> </w:t>
            </w:r>
            <w:r w:rsidRPr="00321655">
              <w:rPr>
                <w:rFonts w:ascii="Arial" w:hAnsi="Arial" w:cs="Arial"/>
                <w:lang w:val="pl-PL"/>
              </w:rPr>
              <w:t>produktami podwójnego zastosowania zezwolenie indywidualne na wywóz</w:t>
            </w:r>
            <w:r w:rsidRPr="00064D2A">
              <w:rPr>
                <w:rFonts w:ascii="Arial" w:hAnsi="Arial" w:cs="Arial"/>
                <w:lang w:val="pl-PL"/>
              </w:rPr>
              <w:t xml:space="preserve"> </w:t>
            </w:r>
            <w:r w:rsidRPr="00321655">
              <w:rPr>
                <w:rFonts w:ascii="Arial" w:hAnsi="Arial" w:cs="Arial"/>
                <w:lang w:val="pl-PL"/>
              </w:rPr>
              <w:t>i zezwolenie globalne na wywóz są ważne nie dłużej niż 2 lata. Zezwolenia, o których</w:t>
            </w:r>
            <w:r w:rsidRPr="00064D2A">
              <w:rPr>
                <w:rFonts w:ascii="Arial" w:hAnsi="Arial" w:cs="Arial"/>
                <w:lang w:val="pl-PL"/>
              </w:rPr>
              <w:t xml:space="preserve"> </w:t>
            </w:r>
            <w:r w:rsidRPr="00321655">
              <w:rPr>
                <w:rFonts w:ascii="Arial" w:hAnsi="Arial" w:cs="Arial"/>
                <w:lang w:val="pl-PL"/>
              </w:rPr>
              <w:t>mowa w art. 12 ust. 3 rozporządzenia 2021/8211, są ważne nie dłużej niż 4 lata.</w:t>
            </w:r>
          </w:p>
          <w:p w14:paraId="4911033B" w14:textId="6EAD77C5" w:rsidR="00721ECD" w:rsidRPr="00064D2A" w:rsidRDefault="00721ECD" w:rsidP="00C35997">
            <w:pPr>
              <w:jc w:val="both"/>
              <w:rPr>
                <w:rFonts w:ascii="Arial" w:hAnsi="Arial" w:cs="Arial"/>
                <w:b/>
                <w:bCs/>
                <w:lang w:val="pl-PL"/>
              </w:rPr>
            </w:pPr>
            <w:r w:rsidRPr="00321655">
              <w:rPr>
                <w:rFonts w:ascii="Arial" w:hAnsi="Arial" w:cs="Arial"/>
                <w:lang w:val="pl-PL"/>
              </w:rPr>
              <w:t>Odnosząc się do zdania drugiego projektowanego przepisu zauważyć należy, że</w:t>
            </w:r>
            <w:r w:rsidRPr="00064D2A">
              <w:rPr>
                <w:rFonts w:ascii="Arial" w:hAnsi="Arial" w:cs="Arial"/>
                <w:lang w:val="pl-PL"/>
              </w:rPr>
              <w:t xml:space="preserve"> </w:t>
            </w:r>
            <w:r w:rsidRPr="00321655">
              <w:rPr>
                <w:rFonts w:ascii="Arial" w:hAnsi="Arial" w:cs="Arial"/>
                <w:lang w:val="pl-PL"/>
              </w:rPr>
              <w:t>zgodnie z art. 12 ust. 3 akapit pierwszy rozporządzenia 2021/821 globalne</w:t>
            </w:r>
            <w:r w:rsidRPr="00064D2A">
              <w:rPr>
                <w:rFonts w:ascii="Arial" w:hAnsi="Arial" w:cs="Arial"/>
                <w:lang w:val="pl-PL"/>
              </w:rPr>
              <w:t xml:space="preserve"> </w:t>
            </w:r>
            <w:r w:rsidRPr="00321655">
              <w:rPr>
                <w:rFonts w:ascii="Arial" w:hAnsi="Arial" w:cs="Arial"/>
                <w:lang w:val="pl-PL"/>
              </w:rPr>
              <w:t>zezwolenia na wywóz są ważne przez okres do dwóch lat, chyba że właściwy organ</w:t>
            </w:r>
            <w:r w:rsidRPr="00064D2A">
              <w:rPr>
                <w:rFonts w:ascii="Arial" w:hAnsi="Arial" w:cs="Arial"/>
                <w:lang w:val="pl-PL"/>
              </w:rPr>
              <w:t xml:space="preserve"> </w:t>
            </w:r>
            <w:r w:rsidRPr="00321655">
              <w:rPr>
                <w:rFonts w:ascii="Arial" w:hAnsi="Arial" w:cs="Arial"/>
                <w:lang w:val="pl-PL"/>
              </w:rPr>
              <w:t xml:space="preserve">postanowi inaczej. </w:t>
            </w:r>
          </w:p>
        </w:tc>
        <w:tc>
          <w:tcPr>
            <w:tcW w:w="2693" w:type="dxa"/>
          </w:tcPr>
          <w:p w14:paraId="0579CD39" w14:textId="77777777" w:rsidR="00721ECD" w:rsidRPr="00321655" w:rsidRDefault="00721ECD" w:rsidP="00C35997">
            <w:pPr>
              <w:jc w:val="both"/>
              <w:rPr>
                <w:rFonts w:ascii="Arial" w:hAnsi="Arial" w:cs="Arial"/>
                <w:lang w:val="pl-PL"/>
              </w:rPr>
            </w:pPr>
            <w:r w:rsidRPr="00321655">
              <w:rPr>
                <w:rFonts w:ascii="Arial" w:hAnsi="Arial" w:cs="Arial"/>
                <w:lang w:val="pl-PL"/>
              </w:rPr>
              <w:t>Mając na uwadze to, że w art. 12 ust. 3 rozporządzenia 2021/821</w:t>
            </w:r>
          </w:p>
          <w:p w14:paraId="2CC2B683" w14:textId="77777777" w:rsidR="00721ECD" w:rsidRPr="00321655" w:rsidRDefault="00721ECD" w:rsidP="00C35997">
            <w:pPr>
              <w:jc w:val="both"/>
              <w:rPr>
                <w:rFonts w:ascii="Arial" w:hAnsi="Arial" w:cs="Arial"/>
                <w:lang w:val="pl-PL"/>
              </w:rPr>
            </w:pPr>
            <w:r w:rsidRPr="00321655">
              <w:rPr>
                <w:rFonts w:ascii="Arial" w:hAnsi="Arial" w:cs="Arial"/>
                <w:lang w:val="pl-PL"/>
              </w:rPr>
              <w:t>wskazano, że co do zasady zezwolenia globalne ważne są przez okres „do dwóch lat”,</w:t>
            </w:r>
            <w:r w:rsidRPr="00064D2A">
              <w:rPr>
                <w:rFonts w:ascii="Arial" w:hAnsi="Arial" w:cs="Arial"/>
                <w:lang w:val="pl-PL"/>
              </w:rPr>
              <w:t xml:space="preserve"> </w:t>
            </w:r>
            <w:r w:rsidRPr="00321655">
              <w:rPr>
                <w:rFonts w:ascii="Arial" w:hAnsi="Arial" w:cs="Arial"/>
                <w:lang w:val="pl-PL"/>
              </w:rPr>
              <w:t>dozwolone jest (jak się wydaje w świetle językowej i funkcjonalnej wykładni tego</w:t>
            </w:r>
          </w:p>
          <w:p w14:paraId="44E086BE" w14:textId="77777777" w:rsidR="00721ECD" w:rsidRPr="00321655" w:rsidRDefault="00721ECD" w:rsidP="00C35997">
            <w:pPr>
              <w:jc w:val="both"/>
              <w:rPr>
                <w:rFonts w:ascii="Arial" w:hAnsi="Arial" w:cs="Arial"/>
                <w:lang w:val="pl-PL"/>
              </w:rPr>
            </w:pPr>
            <w:r w:rsidRPr="00321655">
              <w:rPr>
                <w:rFonts w:ascii="Arial" w:hAnsi="Arial" w:cs="Arial"/>
                <w:lang w:val="pl-PL"/>
              </w:rPr>
              <w:t>przepisu) jedynie skrócenie tego maksymalnego okresu przez właściwy organ, nie</w:t>
            </w:r>
          </w:p>
          <w:p w14:paraId="749E0EDF" w14:textId="77777777" w:rsidR="00721ECD" w:rsidRPr="00321655" w:rsidRDefault="00721ECD" w:rsidP="00C35997">
            <w:pPr>
              <w:jc w:val="both"/>
              <w:rPr>
                <w:rFonts w:ascii="Arial" w:hAnsi="Arial" w:cs="Arial"/>
                <w:lang w:val="pl-PL"/>
              </w:rPr>
            </w:pPr>
            <w:r w:rsidRPr="00321655">
              <w:rPr>
                <w:rFonts w:ascii="Arial" w:hAnsi="Arial" w:cs="Arial"/>
                <w:lang w:val="pl-PL"/>
              </w:rPr>
              <w:t>zaś jego wydłużenie.</w:t>
            </w:r>
          </w:p>
          <w:p w14:paraId="31365AE1" w14:textId="77777777" w:rsidR="00721ECD" w:rsidRPr="00321655" w:rsidRDefault="00721ECD" w:rsidP="00C35997">
            <w:pPr>
              <w:jc w:val="both"/>
              <w:rPr>
                <w:rFonts w:ascii="Arial" w:hAnsi="Arial" w:cs="Arial"/>
                <w:lang w:val="pl-PL"/>
              </w:rPr>
            </w:pPr>
            <w:r w:rsidRPr="00321655">
              <w:rPr>
                <w:rFonts w:ascii="Arial" w:hAnsi="Arial" w:cs="Arial"/>
                <w:lang w:val="pl-PL"/>
              </w:rPr>
              <w:t>Na zastosowanie czteroletniego terminu wyznaczonego w zdaniu drugim</w:t>
            </w:r>
          </w:p>
          <w:p w14:paraId="0D494454" w14:textId="77777777" w:rsidR="00721ECD" w:rsidRPr="00321655" w:rsidRDefault="00721ECD" w:rsidP="00C35997">
            <w:pPr>
              <w:jc w:val="both"/>
              <w:rPr>
                <w:rFonts w:ascii="Arial" w:hAnsi="Arial" w:cs="Arial"/>
                <w:lang w:val="pl-PL"/>
              </w:rPr>
            </w:pPr>
            <w:r w:rsidRPr="00321655">
              <w:rPr>
                <w:rFonts w:ascii="Arial" w:hAnsi="Arial" w:cs="Arial"/>
                <w:lang w:val="pl-PL"/>
              </w:rPr>
              <w:t xml:space="preserve">projektowanego art. 14 ust. 5b zmienianej </w:t>
            </w:r>
            <w:r w:rsidRPr="00321655">
              <w:rPr>
                <w:rFonts w:ascii="Arial" w:hAnsi="Arial" w:cs="Arial"/>
                <w:i/>
                <w:iCs/>
                <w:lang w:val="pl-PL"/>
              </w:rPr>
              <w:t xml:space="preserve">ustawy o obrocie z zagranicą </w:t>
            </w:r>
            <w:r w:rsidRPr="00321655">
              <w:rPr>
                <w:rFonts w:ascii="Arial" w:hAnsi="Arial" w:cs="Arial"/>
                <w:lang w:val="pl-PL"/>
              </w:rPr>
              <w:t>pozwala</w:t>
            </w:r>
          </w:p>
          <w:p w14:paraId="4ECF1525" w14:textId="77777777" w:rsidR="00721ECD" w:rsidRPr="00064D2A" w:rsidRDefault="00721ECD" w:rsidP="00C35997">
            <w:pPr>
              <w:jc w:val="both"/>
              <w:rPr>
                <w:rFonts w:ascii="Arial" w:hAnsi="Arial" w:cs="Arial"/>
                <w:lang w:val="pl-PL"/>
              </w:rPr>
            </w:pPr>
            <w:r w:rsidRPr="00064D2A">
              <w:rPr>
                <w:rFonts w:ascii="Arial" w:hAnsi="Arial" w:cs="Arial"/>
                <w:lang w:val="pl-PL"/>
              </w:rPr>
              <w:t xml:space="preserve">natomiast art. 12 ust. 3 akapit drugi rozporządzenia 2021/821, stosownie do </w:t>
            </w:r>
            <w:r w:rsidRPr="00064D2A">
              <w:rPr>
                <w:rFonts w:ascii="Arial" w:hAnsi="Arial" w:cs="Arial"/>
                <w:lang w:val="pl-PL"/>
              </w:rPr>
              <w:lastRenderedPageBreak/>
              <w:t>którego zezwolenia dla dużych projektów są ważne przez okres ustalany przez</w:t>
            </w:r>
          </w:p>
          <w:p w14:paraId="796B02FB" w14:textId="77777777" w:rsidR="00721ECD" w:rsidRPr="00321655" w:rsidRDefault="00721ECD" w:rsidP="00C35997">
            <w:pPr>
              <w:jc w:val="both"/>
              <w:rPr>
                <w:rFonts w:ascii="Arial" w:hAnsi="Arial" w:cs="Arial"/>
                <w:lang w:val="pl-PL"/>
              </w:rPr>
            </w:pPr>
            <w:r w:rsidRPr="00321655">
              <w:rPr>
                <w:rFonts w:ascii="Arial" w:hAnsi="Arial" w:cs="Arial"/>
                <w:lang w:val="pl-PL"/>
              </w:rPr>
              <w:t>właściwy organ, jednak nie dłuższy niż cztery lata, z wyjątkiem należycie</w:t>
            </w:r>
          </w:p>
          <w:p w14:paraId="5B3E1373" w14:textId="77777777" w:rsidR="00721ECD" w:rsidRPr="00321655" w:rsidRDefault="00721ECD" w:rsidP="00721ECD">
            <w:pPr>
              <w:jc w:val="both"/>
              <w:rPr>
                <w:rFonts w:ascii="Arial" w:hAnsi="Arial" w:cs="Arial"/>
                <w:lang w:val="pl-PL"/>
              </w:rPr>
            </w:pPr>
            <w:r w:rsidRPr="00321655">
              <w:rPr>
                <w:rFonts w:ascii="Arial" w:hAnsi="Arial" w:cs="Arial"/>
                <w:lang w:val="pl-PL"/>
              </w:rPr>
              <w:t>uzasadnionych okoliczności wynikających z czasu trwania projektu.</w:t>
            </w:r>
            <w:r w:rsidRPr="00064D2A">
              <w:rPr>
                <w:rFonts w:ascii="Arial" w:hAnsi="Arial" w:cs="Arial"/>
                <w:lang w:val="pl-PL"/>
              </w:rPr>
              <w:t xml:space="preserve"> </w:t>
            </w:r>
            <w:r w:rsidRPr="00321655">
              <w:rPr>
                <w:rFonts w:ascii="Arial" w:hAnsi="Arial" w:cs="Arial"/>
                <w:lang w:val="pl-PL"/>
              </w:rPr>
              <w:t>Odesłanie zastosowane w zdaniu drugim projektowanego art. 14 ust. 5b zmienianej</w:t>
            </w:r>
            <w:r w:rsidRPr="00064D2A">
              <w:rPr>
                <w:rFonts w:ascii="Arial" w:hAnsi="Arial" w:cs="Arial"/>
                <w:lang w:val="pl-PL"/>
              </w:rPr>
              <w:t xml:space="preserve"> </w:t>
            </w:r>
            <w:r w:rsidRPr="00321655">
              <w:rPr>
                <w:rFonts w:ascii="Arial" w:hAnsi="Arial" w:cs="Arial"/>
                <w:i/>
                <w:iCs/>
                <w:lang w:val="pl-PL"/>
              </w:rPr>
              <w:t xml:space="preserve">ustawy o obrocie z zagranicą </w:t>
            </w:r>
            <w:r w:rsidRPr="00321655">
              <w:rPr>
                <w:rFonts w:ascii="Arial" w:hAnsi="Arial" w:cs="Arial"/>
                <w:lang w:val="pl-PL"/>
              </w:rPr>
              <w:t>powinno zatem odnosić się do art. 12 ust. 3 akapit drugi</w:t>
            </w:r>
          </w:p>
          <w:p w14:paraId="777D0B73" w14:textId="77777777" w:rsidR="00721ECD" w:rsidRPr="00064D2A" w:rsidRDefault="00721ECD" w:rsidP="00721ECD">
            <w:pPr>
              <w:jc w:val="both"/>
              <w:rPr>
                <w:rFonts w:ascii="Arial" w:hAnsi="Arial" w:cs="Arial"/>
                <w:lang w:val="pl-PL"/>
              </w:rPr>
            </w:pPr>
            <w:r w:rsidRPr="00064D2A">
              <w:rPr>
                <w:rFonts w:ascii="Arial" w:hAnsi="Arial" w:cs="Arial"/>
                <w:lang w:val="pl-PL"/>
              </w:rPr>
              <w:t>rozporządzenia 2021/821.</w:t>
            </w:r>
          </w:p>
          <w:p w14:paraId="195E4F85" w14:textId="132D3178" w:rsidR="00721ECD" w:rsidRPr="00321655" w:rsidRDefault="00721ECD" w:rsidP="00C35997">
            <w:pPr>
              <w:jc w:val="both"/>
              <w:rPr>
                <w:rFonts w:ascii="Arial" w:hAnsi="Arial" w:cs="Arial"/>
                <w:lang w:val="pl-PL"/>
              </w:rPr>
            </w:pPr>
          </w:p>
          <w:p w14:paraId="2CB5BBB0" w14:textId="77777777" w:rsidR="00721ECD" w:rsidRPr="00064D2A" w:rsidRDefault="00721ECD" w:rsidP="00C35997">
            <w:pPr>
              <w:autoSpaceDE w:val="0"/>
              <w:autoSpaceDN w:val="0"/>
              <w:adjustRightInd w:val="0"/>
              <w:spacing w:line="300" w:lineRule="auto"/>
              <w:jc w:val="both"/>
              <w:rPr>
                <w:rFonts w:ascii="Arial" w:hAnsi="Arial" w:cs="Arial"/>
                <w:b/>
                <w:bCs/>
                <w:lang w:val="pl-PL"/>
              </w:rPr>
            </w:pPr>
          </w:p>
        </w:tc>
        <w:tc>
          <w:tcPr>
            <w:tcW w:w="4111" w:type="dxa"/>
          </w:tcPr>
          <w:p w14:paraId="782A5096" w14:textId="77777777" w:rsidR="00721ECD" w:rsidRPr="00064D2A" w:rsidRDefault="00721ECD" w:rsidP="00C35997">
            <w:pPr>
              <w:autoSpaceDE w:val="0"/>
              <w:autoSpaceDN w:val="0"/>
              <w:adjustRightInd w:val="0"/>
              <w:jc w:val="both"/>
              <w:rPr>
                <w:rFonts w:ascii="Arial" w:hAnsi="Arial" w:cs="Arial"/>
                <w:b/>
                <w:bCs/>
                <w:lang w:val="pl-PL"/>
              </w:rPr>
            </w:pPr>
            <w:r w:rsidRPr="00064D2A">
              <w:rPr>
                <w:rFonts w:ascii="Arial" w:hAnsi="Arial" w:cs="Arial"/>
                <w:b/>
                <w:bCs/>
                <w:lang w:val="pl-PL"/>
              </w:rPr>
              <w:lastRenderedPageBreak/>
              <w:t xml:space="preserve">Uwaga uwzględniona – </w:t>
            </w:r>
          </w:p>
          <w:p w14:paraId="0A628A79" w14:textId="77777777" w:rsidR="00721ECD" w:rsidRPr="00064D2A" w:rsidRDefault="00721ECD" w:rsidP="00C35997">
            <w:pPr>
              <w:autoSpaceDE w:val="0"/>
              <w:autoSpaceDN w:val="0"/>
              <w:adjustRightInd w:val="0"/>
              <w:jc w:val="both"/>
              <w:rPr>
                <w:rFonts w:ascii="Arial" w:hAnsi="Arial" w:cs="Arial"/>
                <w:lang w:val="pl-PL"/>
              </w:rPr>
            </w:pPr>
          </w:p>
          <w:p w14:paraId="116EFC35" w14:textId="016700BA" w:rsidR="00721ECD" w:rsidRPr="00064D2A" w:rsidRDefault="00721ECD" w:rsidP="00C35997">
            <w:pPr>
              <w:autoSpaceDE w:val="0"/>
              <w:autoSpaceDN w:val="0"/>
              <w:adjustRightInd w:val="0"/>
              <w:jc w:val="both"/>
              <w:rPr>
                <w:rFonts w:ascii="Arial" w:hAnsi="Arial" w:cs="Arial"/>
                <w:b/>
                <w:bCs/>
                <w:lang w:val="pl-PL"/>
              </w:rPr>
            </w:pPr>
            <w:r w:rsidRPr="00064D2A">
              <w:rPr>
                <w:rFonts w:ascii="Arial" w:hAnsi="Arial" w:cs="Arial"/>
                <w:lang w:val="pl-PL"/>
              </w:rPr>
              <w:t>dopisano zmianę.</w:t>
            </w:r>
          </w:p>
        </w:tc>
      </w:tr>
      <w:tr w:rsidR="00721ECD" w:rsidRPr="00064D2A" w14:paraId="1BEA51C6" w14:textId="77777777" w:rsidTr="00064D2A">
        <w:tc>
          <w:tcPr>
            <w:tcW w:w="562" w:type="dxa"/>
          </w:tcPr>
          <w:p w14:paraId="2331DD88" w14:textId="16C7BD61" w:rsidR="00721ECD" w:rsidRPr="00064D2A" w:rsidRDefault="00721ECD" w:rsidP="00C35997">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14.</w:t>
            </w:r>
          </w:p>
        </w:tc>
        <w:tc>
          <w:tcPr>
            <w:tcW w:w="1333" w:type="dxa"/>
          </w:tcPr>
          <w:p w14:paraId="4B0C5D22" w14:textId="22F6E04A" w:rsidR="00721ECD" w:rsidRPr="00064D2A" w:rsidRDefault="00721ECD" w:rsidP="00C35997">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Minister ds. UE-KPRM</w:t>
            </w:r>
          </w:p>
        </w:tc>
        <w:tc>
          <w:tcPr>
            <w:tcW w:w="1395" w:type="dxa"/>
          </w:tcPr>
          <w:p w14:paraId="345DBA11" w14:textId="5BBB3364" w:rsidR="00721ECD" w:rsidRPr="00064D2A" w:rsidRDefault="00721ECD" w:rsidP="00C35997">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Art. 1 pkt 16 (po zmianie pkt projektu będzie to pkt 18)  - w odniesieniu do art. 27d ust. 4 ustawy o obrocie z zagranicą</w:t>
            </w:r>
          </w:p>
        </w:tc>
        <w:tc>
          <w:tcPr>
            <w:tcW w:w="3793" w:type="dxa"/>
          </w:tcPr>
          <w:p w14:paraId="0CCA6760" w14:textId="77777777" w:rsidR="00721ECD" w:rsidRPr="00064D2A" w:rsidRDefault="00721ECD" w:rsidP="00C35997">
            <w:pPr>
              <w:jc w:val="both"/>
              <w:rPr>
                <w:rFonts w:ascii="Arial" w:hAnsi="Arial" w:cs="Arial"/>
                <w:lang w:val="pl-PL"/>
              </w:rPr>
            </w:pPr>
            <w:r w:rsidRPr="00064D2A">
              <w:rPr>
                <w:rFonts w:ascii="Arial" w:hAnsi="Arial" w:cs="Arial"/>
                <w:lang w:val="pl-PL"/>
              </w:rPr>
              <w:t xml:space="preserve">Projektowany art. 27d ust. 4 </w:t>
            </w:r>
            <w:r w:rsidRPr="00064D2A">
              <w:rPr>
                <w:rFonts w:ascii="Arial" w:hAnsi="Arial" w:cs="Arial"/>
                <w:i/>
                <w:iCs/>
                <w:lang w:val="pl-PL"/>
              </w:rPr>
              <w:t xml:space="preserve">ustawy o obrocie z zagranicą </w:t>
            </w:r>
            <w:r w:rsidRPr="00064D2A">
              <w:rPr>
                <w:rFonts w:ascii="Arial" w:hAnsi="Arial" w:cs="Arial"/>
                <w:lang w:val="pl-PL"/>
              </w:rPr>
              <w:t>(art. 1 pkt 16 projektu</w:t>
            </w:r>
          </w:p>
          <w:p w14:paraId="1EC6932B" w14:textId="5A76DCFA" w:rsidR="00721ECD" w:rsidRPr="00321655" w:rsidRDefault="00721ECD" w:rsidP="00C35997">
            <w:pPr>
              <w:jc w:val="both"/>
              <w:rPr>
                <w:rFonts w:ascii="Arial" w:hAnsi="Arial" w:cs="Arial"/>
                <w:lang w:val="pl-PL"/>
              </w:rPr>
            </w:pPr>
            <w:r w:rsidRPr="00321655">
              <w:rPr>
                <w:rFonts w:ascii="Arial" w:hAnsi="Arial" w:cs="Arial"/>
                <w:lang w:val="pl-PL"/>
              </w:rPr>
              <w:t>ustawy) stanowi, że danych przechowywanych w rejestrze udzielonych zezwoleń</w:t>
            </w:r>
            <w:r w:rsidRPr="00064D2A">
              <w:rPr>
                <w:rFonts w:ascii="Arial" w:hAnsi="Arial" w:cs="Arial"/>
                <w:lang w:val="pl-PL"/>
              </w:rPr>
              <w:t xml:space="preserve"> </w:t>
            </w:r>
            <w:r w:rsidRPr="00321655">
              <w:rPr>
                <w:rFonts w:ascii="Arial" w:hAnsi="Arial" w:cs="Arial"/>
                <w:lang w:val="pl-PL"/>
              </w:rPr>
              <w:t>indywidualnych i zezwoleń globalnych oraz podmiotów korzystających z krajowych</w:t>
            </w:r>
            <w:r w:rsidRPr="00064D2A">
              <w:rPr>
                <w:rFonts w:ascii="Arial" w:hAnsi="Arial" w:cs="Arial"/>
                <w:lang w:val="pl-PL"/>
              </w:rPr>
              <w:t xml:space="preserve"> </w:t>
            </w:r>
            <w:r w:rsidRPr="00321655">
              <w:rPr>
                <w:rFonts w:ascii="Arial" w:hAnsi="Arial" w:cs="Arial"/>
                <w:lang w:val="pl-PL"/>
              </w:rPr>
              <w:t>zezwoleń generalnych i unijnych generalnych unijnych zezwoleń na wywóz nie</w:t>
            </w:r>
          </w:p>
          <w:p w14:paraId="4308A772" w14:textId="77777777" w:rsidR="00721ECD" w:rsidRPr="00321655" w:rsidRDefault="00721ECD" w:rsidP="00C35997">
            <w:pPr>
              <w:jc w:val="both"/>
              <w:rPr>
                <w:rFonts w:ascii="Arial" w:hAnsi="Arial" w:cs="Arial"/>
                <w:lang w:val="pl-PL"/>
              </w:rPr>
            </w:pPr>
            <w:r w:rsidRPr="00321655">
              <w:rPr>
                <w:rFonts w:ascii="Arial" w:hAnsi="Arial" w:cs="Arial"/>
                <w:lang w:val="pl-PL"/>
              </w:rPr>
              <w:t>usuwa się.</w:t>
            </w:r>
          </w:p>
          <w:p w14:paraId="259FCFCB" w14:textId="75122A49" w:rsidR="00721ECD" w:rsidRPr="00321655" w:rsidRDefault="00721ECD" w:rsidP="00C35997">
            <w:pPr>
              <w:jc w:val="both"/>
              <w:rPr>
                <w:rFonts w:ascii="Arial" w:hAnsi="Arial" w:cs="Arial"/>
                <w:i/>
                <w:iCs/>
                <w:lang w:val="pl-PL"/>
              </w:rPr>
            </w:pPr>
            <w:r w:rsidRPr="00321655">
              <w:rPr>
                <w:rFonts w:ascii="Arial" w:hAnsi="Arial" w:cs="Arial"/>
                <w:lang w:val="pl-PL"/>
              </w:rPr>
              <w:t>W rejestrze tym będą przetwarzane m.in. dane osobowe. W związku z tym zwracam</w:t>
            </w:r>
            <w:r w:rsidRPr="00064D2A">
              <w:rPr>
                <w:rFonts w:ascii="Arial" w:hAnsi="Arial" w:cs="Arial"/>
                <w:lang w:val="pl-PL"/>
              </w:rPr>
              <w:t xml:space="preserve"> </w:t>
            </w:r>
            <w:r w:rsidRPr="00321655">
              <w:rPr>
                <w:rFonts w:ascii="Arial" w:hAnsi="Arial" w:cs="Arial"/>
                <w:lang w:val="pl-PL"/>
              </w:rPr>
              <w:t xml:space="preserve">uwagę na art. 5 ust. 1 lit. e) </w:t>
            </w:r>
            <w:r w:rsidRPr="00321655">
              <w:rPr>
                <w:rFonts w:ascii="Arial" w:hAnsi="Arial" w:cs="Arial"/>
                <w:i/>
                <w:iCs/>
                <w:lang w:val="pl-PL"/>
              </w:rPr>
              <w:t>rozporządzenia Parlamentu Europejskiego i Rady (UE)</w:t>
            </w:r>
            <w:r w:rsidRPr="00064D2A">
              <w:rPr>
                <w:rFonts w:ascii="Arial" w:hAnsi="Arial" w:cs="Arial"/>
                <w:i/>
                <w:iCs/>
                <w:lang w:val="pl-PL"/>
              </w:rPr>
              <w:t xml:space="preserve"> </w:t>
            </w:r>
            <w:r w:rsidRPr="00321655">
              <w:rPr>
                <w:rFonts w:ascii="Arial" w:hAnsi="Arial" w:cs="Arial"/>
                <w:i/>
                <w:iCs/>
                <w:lang w:val="pl-PL"/>
              </w:rPr>
              <w:t>2016/679 z dnia 27 kwietnia 2016 r. w sprawie ochrony osób fizycznych w związku z</w:t>
            </w:r>
            <w:r w:rsidRPr="00064D2A">
              <w:rPr>
                <w:rFonts w:ascii="Arial" w:hAnsi="Arial" w:cs="Arial"/>
                <w:i/>
                <w:iCs/>
                <w:lang w:val="pl-PL"/>
              </w:rPr>
              <w:t xml:space="preserve"> </w:t>
            </w:r>
            <w:r w:rsidRPr="00321655">
              <w:rPr>
                <w:rFonts w:ascii="Arial" w:hAnsi="Arial" w:cs="Arial"/>
                <w:i/>
                <w:iCs/>
                <w:lang w:val="pl-PL"/>
              </w:rPr>
              <w:t>przetwarzaniem danych osobowych i w sprawie swobodnego przepływu takich danych</w:t>
            </w:r>
          </w:p>
          <w:p w14:paraId="7EF368FF" w14:textId="77777777" w:rsidR="00721ECD" w:rsidRPr="00321655" w:rsidRDefault="00721ECD" w:rsidP="00C35997">
            <w:pPr>
              <w:jc w:val="both"/>
              <w:rPr>
                <w:rFonts w:ascii="Arial" w:hAnsi="Arial" w:cs="Arial"/>
                <w:lang w:val="pl-PL"/>
              </w:rPr>
            </w:pPr>
            <w:r w:rsidRPr="00321655">
              <w:rPr>
                <w:rFonts w:ascii="Arial" w:hAnsi="Arial" w:cs="Arial"/>
                <w:i/>
                <w:iCs/>
                <w:lang w:val="pl-PL"/>
              </w:rPr>
              <w:lastRenderedPageBreak/>
              <w:t xml:space="preserve">oraz uchylenia dyrektywy 95/46/WE </w:t>
            </w:r>
            <w:r w:rsidRPr="00321655">
              <w:rPr>
                <w:rFonts w:ascii="Arial" w:hAnsi="Arial" w:cs="Arial"/>
                <w:lang w:val="pl-PL"/>
              </w:rPr>
              <w:t>(ogólne rozporządzenie o ochronie danych).</w:t>
            </w:r>
          </w:p>
          <w:p w14:paraId="5B0FFF10" w14:textId="77777777" w:rsidR="00721ECD" w:rsidRPr="00321655" w:rsidRDefault="00721ECD" w:rsidP="00C35997">
            <w:pPr>
              <w:jc w:val="both"/>
              <w:rPr>
                <w:rFonts w:ascii="Arial" w:hAnsi="Arial" w:cs="Arial"/>
                <w:lang w:val="pl-PL"/>
              </w:rPr>
            </w:pPr>
            <w:r w:rsidRPr="00321655">
              <w:rPr>
                <w:rFonts w:ascii="Arial" w:hAnsi="Arial" w:cs="Arial"/>
                <w:lang w:val="pl-PL"/>
              </w:rPr>
              <w:t>Zgodnie z nim dane osobowe przechowywane mają być w formie umożliwiającej</w:t>
            </w:r>
          </w:p>
          <w:p w14:paraId="44CA5C19" w14:textId="29586532" w:rsidR="00721ECD" w:rsidRPr="00321655" w:rsidRDefault="00721ECD" w:rsidP="00C35997">
            <w:pPr>
              <w:jc w:val="both"/>
              <w:rPr>
                <w:rFonts w:ascii="Arial" w:hAnsi="Arial" w:cs="Arial"/>
                <w:lang w:val="pl-PL"/>
              </w:rPr>
            </w:pPr>
            <w:r w:rsidRPr="00321655">
              <w:rPr>
                <w:rFonts w:ascii="Arial" w:hAnsi="Arial" w:cs="Arial"/>
                <w:lang w:val="pl-PL"/>
              </w:rPr>
              <w:t>identyfikację osoby, której dane dotyczą, przez okres nie dłuższy, niż jest to</w:t>
            </w:r>
            <w:r w:rsidRPr="00064D2A">
              <w:rPr>
                <w:rFonts w:ascii="Arial" w:hAnsi="Arial" w:cs="Arial"/>
                <w:lang w:val="pl-PL"/>
              </w:rPr>
              <w:t xml:space="preserve"> </w:t>
            </w:r>
            <w:r w:rsidRPr="00321655">
              <w:rPr>
                <w:rFonts w:ascii="Arial" w:hAnsi="Arial" w:cs="Arial"/>
                <w:lang w:val="pl-PL"/>
              </w:rPr>
              <w:t>niezbędne do celów, w których dane te są przetwarzane (zasada ograniczenia</w:t>
            </w:r>
          </w:p>
          <w:p w14:paraId="223BF231" w14:textId="77777777" w:rsidR="00721ECD" w:rsidRPr="00321655" w:rsidRDefault="00721ECD" w:rsidP="00C35997">
            <w:pPr>
              <w:jc w:val="both"/>
              <w:rPr>
                <w:rFonts w:ascii="Arial" w:hAnsi="Arial" w:cs="Arial"/>
                <w:lang w:val="pl-PL"/>
              </w:rPr>
            </w:pPr>
            <w:r w:rsidRPr="00321655">
              <w:rPr>
                <w:rFonts w:ascii="Arial" w:hAnsi="Arial" w:cs="Arial"/>
                <w:lang w:val="pl-PL"/>
              </w:rPr>
              <w:t>przechowywania).</w:t>
            </w:r>
          </w:p>
          <w:p w14:paraId="0AB7FA6B" w14:textId="77777777" w:rsidR="00721ECD" w:rsidRPr="00064D2A" w:rsidRDefault="00721ECD" w:rsidP="00C35997">
            <w:pPr>
              <w:autoSpaceDE w:val="0"/>
              <w:autoSpaceDN w:val="0"/>
              <w:adjustRightInd w:val="0"/>
              <w:spacing w:line="300" w:lineRule="auto"/>
              <w:jc w:val="both"/>
              <w:rPr>
                <w:rFonts w:ascii="Arial" w:hAnsi="Arial" w:cs="Arial"/>
                <w:b/>
                <w:bCs/>
                <w:lang w:val="pl-PL"/>
              </w:rPr>
            </w:pPr>
          </w:p>
        </w:tc>
        <w:tc>
          <w:tcPr>
            <w:tcW w:w="2693" w:type="dxa"/>
          </w:tcPr>
          <w:p w14:paraId="38D32751" w14:textId="09346BA7" w:rsidR="00721ECD" w:rsidRPr="00321655" w:rsidRDefault="00721ECD" w:rsidP="00C35997">
            <w:pPr>
              <w:jc w:val="both"/>
              <w:rPr>
                <w:rFonts w:ascii="Arial" w:hAnsi="Arial" w:cs="Arial"/>
                <w:lang w:val="pl-PL"/>
              </w:rPr>
            </w:pPr>
            <w:r w:rsidRPr="00321655">
              <w:rPr>
                <w:rFonts w:ascii="Arial" w:hAnsi="Arial" w:cs="Arial"/>
                <w:lang w:val="pl-PL"/>
              </w:rPr>
              <w:lastRenderedPageBreak/>
              <w:t>Projektowane rozwiązanie budzi wątpliwości co do zgodności z tą zasadą, ponieważ</w:t>
            </w:r>
            <w:r w:rsidRPr="00064D2A">
              <w:rPr>
                <w:rFonts w:ascii="Arial" w:hAnsi="Arial" w:cs="Arial"/>
                <w:lang w:val="pl-PL"/>
              </w:rPr>
              <w:t xml:space="preserve"> </w:t>
            </w:r>
            <w:r w:rsidRPr="00321655">
              <w:rPr>
                <w:rFonts w:ascii="Arial" w:hAnsi="Arial" w:cs="Arial"/>
                <w:lang w:val="pl-PL"/>
              </w:rPr>
              <w:t>nie przewiduje możliwości usuwania takich danych. Według uzasadnienia do</w:t>
            </w:r>
          </w:p>
          <w:p w14:paraId="429B5265" w14:textId="5444C9B5" w:rsidR="00721ECD" w:rsidRPr="00321655" w:rsidRDefault="00721ECD" w:rsidP="00C35997">
            <w:pPr>
              <w:jc w:val="both"/>
              <w:rPr>
                <w:rFonts w:ascii="Arial" w:hAnsi="Arial" w:cs="Arial"/>
                <w:lang w:val="pl-PL"/>
              </w:rPr>
            </w:pPr>
            <w:r w:rsidRPr="00321655">
              <w:rPr>
                <w:rFonts w:ascii="Arial" w:hAnsi="Arial" w:cs="Arial"/>
                <w:lang w:val="pl-PL"/>
              </w:rPr>
              <w:t>projektu organ kontroli obrotu niejednokrotnie musi sięgać do danych tzw.</w:t>
            </w:r>
            <w:r w:rsidRPr="00064D2A">
              <w:rPr>
                <w:rFonts w:ascii="Arial" w:hAnsi="Arial" w:cs="Arial"/>
                <w:lang w:val="pl-PL"/>
              </w:rPr>
              <w:t xml:space="preserve"> </w:t>
            </w:r>
            <w:r w:rsidRPr="00321655">
              <w:rPr>
                <w:rFonts w:ascii="Arial" w:hAnsi="Arial" w:cs="Arial"/>
                <w:lang w:val="pl-PL"/>
              </w:rPr>
              <w:t>archiwalnych np. danych zawartych zezwoleniach wydanych wiele lat wstecz,</w:t>
            </w:r>
          </w:p>
          <w:p w14:paraId="5BB4B90B" w14:textId="77777777" w:rsidR="00721ECD" w:rsidRPr="00321655" w:rsidRDefault="00721ECD" w:rsidP="00C35997">
            <w:pPr>
              <w:jc w:val="both"/>
              <w:rPr>
                <w:rFonts w:ascii="Arial" w:hAnsi="Arial" w:cs="Arial"/>
                <w:lang w:val="pl-PL"/>
              </w:rPr>
            </w:pPr>
            <w:r w:rsidRPr="00321655">
              <w:rPr>
                <w:rFonts w:ascii="Arial" w:hAnsi="Arial" w:cs="Arial"/>
                <w:lang w:val="pl-PL"/>
              </w:rPr>
              <w:t>dlatego muszą być one dostępne dla organu kontroli obrotu w każdej chwili.</w:t>
            </w:r>
          </w:p>
          <w:p w14:paraId="3F2BB85B" w14:textId="77777777" w:rsidR="00721ECD" w:rsidRPr="00321655" w:rsidRDefault="00721ECD" w:rsidP="00C35997">
            <w:pPr>
              <w:jc w:val="both"/>
              <w:rPr>
                <w:rFonts w:ascii="Arial" w:hAnsi="Arial" w:cs="Arial"/>
                <w:lang w:val="pl-PL"/>
              </w:rPr>
            </w:pPr>
            <w:r w:rsidRPr="00321655">
              <w:rPr>
                <w:rFonts w:ascii="Arial" w:hAnsi="Arial" w:cs="Arial"/>
                <w:lang w:val="pl-PL"/>
              </w:rPr>
              <w:t>Rozwiązanie to jednak wydaje się nadmiarowe w stosunku do potrzeb kontroli.</w:t>
            </w:r>
          </w:p>
          <w:p w14:paraId="0B4C6157" w14:textId="77777777" w:rsidR="00721ECD" w:rsidRPr="00321655" w:rsidRDefault="00721ECD" w:rsidP="00C35997">
            <w:pPr>
              <w:jc w:val="both"/>
              <w:rPr>
                <w:rFonts w:ascii="Arial" w:hAnsi="Arial" w:cs="Arial"/>
                <w:lang w:val="pl-PL"/>
              </w:rPr>
            </w:pPr>
            <w:r w:rsidRPr="00321655">
              <w:rPr>
                <w:rFonts w:ascii="Arial" w:hAnsi="Arial" w:cs="Arial"/>
                <w:lang w:val="pl-PL"/>
              </w:rPr>
              <w:lastRenderedPageBreak/>
              <w:t>Nielogiczne wydaje się bowiem sięganie do danych np. sprzed 15 lat na potrzeby</w:t>
            </w:r>
          </w:p>
          <w:p w14:paraId="0C3EF7C3" w14:textId="77777777" w:rsidR="00721ECD" w:rsidRPr="00321655" w:rsidRDefault="00721ECD" w:rsidP="00C35997">
            <w:pPr>
              <w:jc w:val="both"/>
              <w:rPr>
                <w:rFonts w:ascii="Arial" w:hAnsi="Arial" w:cs="Arial"/>
                <w:lang w:val="pl-PL"/>
              </w:rPr>
            </w:pPr>
            <w:r w:rsidRPr="00321655">
              <w:rPr>
                <w:rFonts w:ascii="Arial" w:hAnsi="Arial" w:cs="Arial"/>
                <w:lang w:val="pl-PL"/>
              </w:rPr>
              <w:t>kontroli przeprowadzanej w czasie rzeczywistym, w związku z wydanym</w:t>
            </w:r>
          </w:p>
          <w:p w14:paraId="66B3AD4F" w14:textId="77777777" w:rsidR="00721ECD" w:rsidRPr="00321655" w:rsidRDefault="00721ECD" w:rsidP="00C35997">
            <w:pPr>
              <w:jc w:val="both"/>
              <w:rPr>
                <w:rFonts w:ascii="Arial" w:hAnsi="Arial" w:cs="Arial"/>
                <w:lang w:val="pl-PL"/>
              </w:rPr>
            </w:pPr>
            <w:r w:rsidRPr="00321655">
              <w:rPr>
                <w:rFonts w:ascii="Arial" w:hAnsi="Arial" w:cs="Arial"/>
                <w:lang w:val="pl-PL"/>
              </w:rPr>
              <w:t>zezwoleniem2, ponieważ przykładowo w przypadku obrotu uzbrojeniem zezwolenie</w:t>
            </w:r>
          </w:p>
          <w:p w14:paraId="160C95C1" w14:textId="77777777" w:rsidR="00721ECD" w:rsidRPr="00321655" w:rsidRDefault="00721ECD" w:rsidP="00C35997">
            <w:pPr>
              <w:jc w:val="both"/>
              <w:rPr>
                <w:rFonts w:ascii="Arial" w:hAnsi="Arial" w:cs="Arial"/>
                <w:lang w:val="pl-PL"/>
              </w:rPr>
            </w:pPr>
            <w:r w:rsidRPr="00321655">
              <w:rPr>
                <w:rFonts w:ascii="Arial" w:hAnsi="Arial" w:cs="Arial"/>
                <w:lang w:val="pl-PL"/>
              </w:rPr>
              <w:t>indywidualne jest ważne nie dłużej niż rok, a zezwolenie globalne jest ważne nie</w:t>
            </w:r>
          </w:p>
          <w:p w14:paraId="7BD9CFB9" w14:textId="77777777" w:rsidR="00721ECD" w:rsidRPr="00321655" w:rsidRDefault="00721ECD" w:rsidP="00C35997">
            <w:pPr>
              <w:jc w:val="both"/>
              <w:rPr>
                <w:rFonts w:ascii="Arial" w:hAnsi="Arial" w:cs="Arial"/>
                <w:lang w:val="pl-PL"/>
              </w:rPr>
            </w:pPr>
            <w:r w:rsidRPr="00321655">
              <w:rPr>
                <w:rFonts w:ascii="Arial" w:hAnsi="Arial" w:cs="Arial"/>
                <w:lang w:val="pl-PL"/>
              </w:rPr>
              <w:t>dłużej niż 3 lata (projektowany art. 14 ust. 5a ww. ustawy, art. 1 pkt 7 projektu</w:t>
            </w:r>
          </w:p>
          <w:p w14:paraId="6E02D867" w14:textId="77777777" w:rsidR="00721ECD" w:rsidRPr="00321655" w:rsidRDefault="00721ECD" w:rsidP="00C35997">
            <w:pPr>
              <w:jc w:val="both"/>
              <w:rPr>
                <w:rFonts w:ascii="Arial" w:hAnsi="Arial" w:cs="Arial"/>
                <w:lang w:val="pl-PL"/>
              </w:rPr>
            </w:pPr>
            <w:r w:rsidRPr="00321655">
              <w:rPr>
                <w:rFonts w:ascii="Arial" w:hAnsi="Arial" w:cs="Arial"/>
                <w:lang w:val="pl-PL"/>
              </w:rPr>
              <w:t>ustawy), zaś w przypadku obrotu produktami podwójnego zastosowania zezwolenie</w:t>
            </w:r>
          </w:p>
          <w:p w14:paraId="7E34CC58" w14:textId="77777777" w:rsidR="00721ECD" w:rsidRPr="00321655" w:rsidRDefault="00721ECD" w:rsidP="00C35997">
            <w:pPr>
              <w:jc w:val="both"/>
              <w:rPr>
                <w:rFonts w:ascii="Arial" w:hAnsi="Arial" w:cs="Arial"/>
                <w:lang w:val="pl-PL"/>
              </w:rPr>
            </w:pPr>
            <w:r w:rsidRPr="00321655">
              <w:rPr>
                <w:rFonts w:ascii="Arial" w:hAnsi="Arial" w:cs="Arial"/>
                <w:lang w:val="pl-PL"/>
              </w:rPr>
              <w:t>indywidualne na wywóz i zezwolenie globalne na wywóz są ważne nie dłużej niż 2</w:t>
            </w:r>
          </w:p>
          <w:p w14:paraId="4A903F95" w14:textId="77777777" w:rsidR="00721ECD" w:rsidRPr="00321655" w:rsidRDefault="00721ECD" w:rsidP="00C35997">
            <w:pPr>
              <w:jc w:val="both"/>
              <w:rPr>
                <w:rFonts w:ascii="Arial" w:hAnsi="Arial" w:cs="Arial"/>
                <w:lang w:val="pl-PL"/>
              </w:rPr>
            </w:pPr>
            <w:r w:rsidRPr="00321655">
              <w:rPr>
                <w:rFonts w:ascii="Arial" w:hAnsi="Arial" w:cs="Arial"/>
                <w:lang w:val="pl-PL"/>
              </w:rPr>
              <w:t>lata (art. 14 ust. 5b ww. ustawy, art. 1 pkt 7 projektu ustawy).</w:t>
            </w:r>
          </w:p>
          <w:p w14:paraId="1AE41B76" w14:textId="77777777" w:rsidR="00721ECD" w:rsidRPr="00064D2A" w:rsidRDefault="00721ECD" w:rsidP="00C35997">
            <w:pPr>
              <w:jc w:val="both"/>
              <w:rPr>
                <w:rFonts w:ascii="Arial" w:hAnsi="Arial" w:cs="Arial"/>
                <w:lang w:val="pl-PL"/>
              </w:rPr>
            </w:pPr>
            <w:r w:rsidRPr="00064D2A">
              <w:rPr>
                <w:rFonts w:ascii="Arial" w:hAnsi="Arial" w:cs="Arial"/>
                <w:lang w:val="pl-PL"/>
              </w:rPr>
              <w:t>W związku z tym kwestia ta wymaga ponownej analizy.</w:t>
            </w:r>
          </w:p>
          <w:p w14:paraId="4F0E7EFC" w14:textId="77777777" w:rsidR="00721ECD" w:rsidRPr="00064D2A" w:rsidRDefault="00721ECD" w:rsidP="00C35997">
            <w:pPr>
              <w:autoSpaceDE w:val="0"/>
              <w:autoSpaceDN w:val="0"/>
              <w:adjustRightInd w:val="0"/>
              <w:spacing w:line="300" w:lineRule="auto"/>
              <w:jc w:val="both"/>
              <w:rPr>
                <w:rFonts w:ascii="Arial" w:hAnsi="Arial" w:cs="Arial"/>
                <w:b/>
                <w:bCs/>
                <w:lang w:val="pl-PL"/>
              </w:rPr>
            </w:pPr>
          </w:p>
        </w:tc>
        <w:tc>
          <w:tcPr>
            <w:tcW w:w="4111" w:type="dxa"/>
          </w:tcPr>
          <w:p w14:paraId="750BE802" w14:textId="77777777" w:rsidR="00721ECD" w:rsidRPr="00064D2A" w:rsidRDefault="00721ECD" w:rsidP="00C35997">
            <w:pPr>
              <w:autoSpaceDE w:val="0"/>
              <w:autoSpaceDN w:val="0"/>
              <w:adjustRightInd w:val="0"/>
              <w:jc w:val="both"/>
              <w:rPr>
                <w:rFonts w:ascii="Arial" w:hAnsi="Arial" w:cs="Arial"/>
                <w:b/>
                <w:bCs/>
                <w:lang w:val="pl-PL"/>
              </w:rPr>
            </w:pPr>
            <w:r w:rsidRPr="00064D2A">
              <w:rPr>
                <w:rFonts w:ascii="Arial" w:hAnsi="Arial" w:cs="Arial"/>
                <w:b/>
                <w:bCs/>
                <w:lang w:val="pl-PL"/>
              </w:rPr>
              <w:lastRenderedPageBreak/>
              <w:t xml:space="preserve">Uwaga uwzględniona – </w:t>
            </w:r>
          </w:p>
          <w:p w14:paraId="64D08378" w14:textId="77777777" w:rsidR="00721ECD" w:rsidRPr="00064D2A" w:rsidRDefault="00721ECD" w:rsidP="00C35997">
            <w:pPr>
              <w:autoSpaceDE w:val="0"/>
              <w:autoSpaceDN w:val="0"/>
              <w:adjustRightInd w:val="0"/>
              <w:jc w:val="both"/>
              <w:rPr>
                <w:rFonts w:ascii="Arial" w:hAnsi="Arial" w:cs="Arial"/>
                <w:lang w:val="pl-PL"/>
              </w:rPr>
            </w:pPr>
          </w:p>
          <w:p w14:paraId="4A5E3A2B" w14:textId="003135C0" w:rsidR="00721ECD" w:rsidRPr="00064D2A" w:rsidRDefault="00721ECD" w:rsidP="00C35997">
            <w:pPr>
              <w:autoSpaceDE w:val="0"/>
              <w:autoSpaceDN w:val="0"/>
              <w:adjustRightInd w:val="0"/>
              <w:jc w:val="both"/>
              <w:rPr>
                <w:rFonts w:ascii="Arial" w:hAnsi="Arial" w:cs="Arial"/>
                <w:b/>
                <w:bCs/>
                <w:lang w:val="pl-PL"/>
              </w:rPr>
            </w:pPr>
            <w:r w:rsidRPr="00064D2A">
              <w:rPr>
                <w:rFonts w:ascii="Arial" w:hAnsi="Arial" w:cs="Arial"/>
                <w:lang w:val="pl-PL"/>
              </w:rPr>
              <w:t>dopisano zmianę w art. 27d ust. 4, wyłączając dane osobowe, które będą przechowywane przez okres 10 lat.</w:t>
            </w:r>
          </w:p>
        </w:tc>
      </w:tr>
      <w:tr w:rsidR="00721ECD" w:rsidRPr="00064D2A" w14:paraId="2AB5132D" w14:textId="77777777" w:rsidTr="00064D2A">
        <w:tc>
          <w:tcPr>
            <w:tcW w:w="562" w:type="dxa"/>
          </w:tcPr>
          <w:p w14:paraId="074FDDB8" w14:textId="6A20975B" w:rsidR="00721ECD" w:rsidRPr="00064D2A" w:rsidRDefault="00721ECD" w:rsidP="00C35997">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14.</w:t>
            </w:r>
          </w:p>
        </w:tc>
        <w:tc>
          <w:tcPr>
            <w:tcW w:w="1333" w:type="dxa"/>
          </w:tcPr>
          <w:p w14:paraId="1DF98595" w14:textId="5FF6FCB2" w:rsidR="00721ECD" w:rsidRPr="00064D2A" w:rsidRDefault="00721ECD" w:rsidP="00C35997">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Minister ds. UE-KPRM</w:t>
            </w:r>
          </w:p>
        </w:tc>
        <w:tc>
          <w:tcPr>
            <w:tcW w:w="1395" w:type="dxa"/>
          </w:tcPr>
          <w:p w14:paraId="08865F47" w14:textId="24BDB943" w:rsidR="00721ECD" w:rsidRPr="00064D2A" w:rsidRDefault="00721ECD" w:rsidP="00C35997">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Art. 1 pkt 18 (po zmianie pkt projektu będzie to pkt 20)  - w odniesieniu do art. 46i-</w:t>
            </w:r>
            <w:r w:rsidRPr="00064D2A">
              <w:rPr>
                <w:rFonts w:ascii="Arial" w:hAnsi="Arial" w:cs="Arial"/>
                <w:b/>
                <w:bCs/>
                <w:lang w:val="pl-PL"/>
              </w:rPr>
              <w:lastRenderedPageBreak/>
              <w:t>46l ustawy o obrocie z zagranicą</w:t>
            </w:r>
          </w:p>
        </w:tc>
        <w:tc>
          <w:tcPr>
            <w:tcW w:w="3793" w:type="dxa"/>
          </w:tcPr>
          <w:p w14:paraId="3622441C" w14:textId="5D3F42CF" w:rsidR="00721ECD" w:rsidRPr="00EC5D4B" w:rsidRDefault="00721ECD" w:rsidP="00EC5D4B">
            <w:pPr>
              <w:autoSpaceDE w:val="0"/>
              <w:autoSpaceDN w:val="0"/>
              <w:adjustRightInd w:val="0"/>
              <w:jc w:val="both"/>
              <w:rPr>
                <w:rFonts w:ascii="Arial" w:hAnsi="Arial" w:cs="Arial"/>
                <w:lang w:val="pl-PL"/>
              </w:rPr>
            </w:pPr>
            <w:r w:rsidRPr="00EC5D4B">
              <w:rPr>
                <w:rFonts w:ascii="Arial" w:hAnsi="Arial" w:cs="Arial"/>
                <w:lang w:val="pl-PL"/>
              </w:rPr>
              <w:lastRenderedPageBreak/>
              <w:t>Należy podtrzymać uwagę nr 4 zawartą w opinii o zgodności projektu z prawem Unii</w:t>
            </w:r>
            <w:r w:rsidRPr="00064D2A">
              <w:rPr>
                <w:rFonts w:ascii="Arial" w:hAnsi="Arial" w:cs="Arial"/>
                <w:lang w:val="pl-PL"/>
              </w:rPr>
              <w:t xml:space="preserve"> </w:t>
            </w:r>
            <w:r w:rsidRPr="00EC5D4B">
              <w:rPr>
                <w:rFonts w:ascii="Arial" w:hAnsi="Arial" w:cs="Arial"/>
                <w:lang w:val="pl-PL"/>
              </w:rPr>
              <w:t>Europejskiej (opinia z 26 lipca 2024 r.; sygn.: DPUE.720.824.2024.3(MH).</w:t>
            </w:r>
          </w:p>
          <w:p w14:paraId="5B9BA5C9" w14:textId="77777777" w:rsidR="00721ECD" w:rsidRPr="00EC5D4B" w:rsidRDefault="00721ECD" w:rsidP="00EC5D4B">
            <w:pPr>
              <w:autoSpaceDE w:val="0"/>
              <w:autoSpaceDN w:val="0"/>
              <w:adjustRightInd w:val="0"/>
              <w:jc w:val="both"/>
              <w:rPr>
                <w:rFonts w:ascii="Arial" w:hAnsi="Arial" w:cs="Arial"/>
                <w:lang w:val="pl-PL"/>
              </w:rPr>
            </w:pPr>
            <w:r w:rsidRPr="00EC5D4B">
              <w:rPr>
                <w:rFonts w:ascii="Arial" w:hAnsi="Arial" w:cs="Arial"/>
                <w:lang w:val="pl-PL"/>
              </w:rPr>
              <w:t>Projektodawca nie odniósł się do wspomnianej uwagi i nie wyjaśnił relacji przepisów</w:t>
            </w:r>
          </w:p>
          <w:p w14:paraId="2601D879" w14:textId="3CA28653" w:rsidR="00721ECD" w:rsidRPr="00064D2A" w:rsidRDefault="00721ECD" w:rsidP="00EC5D4B">
            <w:pPr>
              <w:autoSpaceDE w:val="0"/>
              <w:autoSpaceDN w:val="0"/>
              <w:adjustRightInd w:val="0"/>
              <w:jc w:val="both"/>
              <w:rPr>
                <w:rFonts w:ascii="Arial" w:hAnsi="Arial" w:cs="Arial"/>
                <w:lang w:val="pl-PL"/>
              </w:rPr>
            </w:pPr>
            <w:r w:rsidRPr="00EC5D4B">
              <w:rPr>
                <w:rFonts w:ascii="Arial" w:hAnsi="Arial" w:cs="Arial"/>
                <w:lang w:val="pl-PL"/>
              </w:rPr>
              <w:lastRenderedPageBreak/>
              <w:t>wprowadzających uproszczoną procedurę wywozu i transferu do Ukrainy</w:t>
            </w:r>
            <w:r w:rsidRPr="00064D2A">
              <w:rPr>
                <w:rFonts w:ascii="Arial" w:hAnsi="Arial" w:cs="Arial"/>
                <w:lang w:val="pl-PL"/>
              </w:rPr>
              <w:t xml:space="preserve"> </w:t>
            </w:r>
            <w:r w:rsidRPr="00EC5D4B">
              <w:rPr>
                <w:rFonts w:ascii="Arial" w:hAnsi="Arial" w:cs="Arial"/>
                <w:lang w:val="pl-PL"/>
              </w:rPr>
              <w:t>wojskowego sprzętu ochronnego z przepisami rozporządzenia 2021/821 oraz</w:t>
            </w:r>
            <w:r w:rsidRPr="00064D2A">
              <w:rPr>
                <w:rFonts w:ascii="Arial" w:hAnsi="Arial" w:cs="Arial"/>
                <w:lang w:val="pl-PL"/>
              </w:rPr>
              <w:t xml:space="preserve"> </w:t>
            </w:r>
            <w:r w:rsidRPr="00EC5D4B">
              <w:rPr>
                <w:rFonts w:ascii="Arial" w:hAnsi="Arial" w:cs="Arial"/>
                <w:i/>
                <w:iCs/>
                <w:lang w:val="pl-PL"/>
              </w:rPr>
              <w:t>dyrektywy 2009/43/WE w sprawie uproszczenia warunków transferów produktów</w:t>
            </w:r>
            <w:r w:rsidRPr="00064D2A">
              <w:rPr>
                <w:rFonts w:ascii="Arial" w:hAnsi="Arial" w:cs="Arial"/>
                <w:i/>
                <w:iCs/>
                <w:lang w:val="pl-PL"/>
              </w:rPr>
              <w:t xml:space="preserve"> związanych z obronnością we Wspólnocie</w:t>
            </w:r>
            <w:r w:rsidRPr="00064D2A">
              <w:rPr>
                <w:rFonts w:ascii="Arial" w:hAnsi="Arial" w:cs="Arial"/>
                <w:lang w:val="pl-PL"/>
              </w:rPr>
              <w:t>.</w:t>
            </w:r>
          </w:p>
        </w:tc>
        <w:tc>
          <w:tcPr>
            <w:tcW w:w="2693" w:type="dxa"/>
          </w:tcPr>
          <w:p w14:paraId="2FDA5DD8" w14:textId="77777777" w:rsidR="00721ECD" w:rsidRPr="00064D2A" w:rsidRDefault="00721ECD" w:rsidP="00C35997">
            <w:pPr>
              <w:autoSpaceDE w:val="0"/>
              <w:autoSpaceDN w:val="0"/>
              <w:adjustRightInd w:val="0"/>
              <w:spacing w:line="300" w:lineRule="auto"/>
              <w:jc w:val="both"/>
              <w:rPr>
                <w:rFonts w:ascii="Arial" w:hAnsi="Arial" w:cs="Arial"/>
                <w:b/>
                <w:bCs/>
                <w:lang w:val="pl-PL"/>
              </w:rPr>
            </w:pPr>
          </w:p>
        </w:tc>
        <w:tc>
          <w:tcPr>
            <w:tcW w:w="4111" w:type="dxa"/>
          </w:tcPr>
          <w:p w14:paraId="5BFEFC21" w14:textId="77777777" w:rsidR="00721ECD" w:rsidRPr="00064D2A" w:rsidRDefault="00721ECD" w:rsidP="00C35997">
            <w:pPr>
              <w:autoSpaceDE w:val="0"/>
              <w:autoSpaceDN w:val="0"/>
              <w:adjustRightInd w:val="0"/>
              <w:jc w:val="both"/>
              <w:rPr>
                <w:rFonts w:ascii="Arial" w:hAnsi="Arial" w:cs="Arial"/>
                <w:b/>
                <w:bCs/>
                <w:lang w:val="pl-PL"/>
              </w:rPr>
            </w:pPr>
            <w:r w:rsidRPr="00064D2A">
              <w:rPr>
                <w:rFonts w:ascii="Arial" w:hAnsi="Arial" w:cs="Arial"/>
                <w:b/>
                <w:bCs/>
                <w:lang w:val="pl-PL"/>
              </w:rPr>
              <w:t>Wyjaśnienie-</w:t>
            </w:r>
          </w:p>
          <w:p w14:paraId="46389461" w14:textId="77777777" w:rsidR="00721ECD" w:rsidRPr="00064D2A" w:rsidRDefault="00721ECD" w:rsidP="00C35997">
            <w:pPr>
              <w:autoSpaceDE w:val="0"/>
              <w:autoSpaceDN w:val="0"/>
              <w:adjustRightInd w:val="0"/>
              <w:jc w:val="both"/>
              <w:rPr>
                <w:rFonts w:ascii="Arial" w:hAnsi="Arial" w:cs="Arial"/>
                <w:b/>
                <w:bCs/>
                <w:lang w:val="pl-PL"/>
              </w:rPr>
            </w:pPr>
          </w:p>
          <w:p w14:paraId="601B5C52" w14:textId="39993340" w:rsidR="00721ECD" w:rsidRPr="00064D2A" w:rsidRDefault="00721ECD" w:rsidP="00EC5D4B">
            <w:pPr>
              <w:jc w:val="both"/>
              <w:rPr>
                <w:rFonts w:ascii="Arial" w:hAnsi="Arial" w:cs="Arial"/>
                <w:lang w:val="pl-PL" w:bidi="pl-PL"/>
              </w:rPr>
            </w:pPr>
            <w:r w:rsidRPr="00064D2A">
              <w:rPr>
                <w:rFonts w:ascii="Arial" w:hAnsi="Arial" w:cs="Arial"/>
                <w:lang w:val="pl-PL" w:bidi="pl-PL"/>
              </w:rPr>
              <w:t xml:space="preserve">Odnośnie relacji przepisów rozporządzenia 2021/821 należy wskazać, iż  przepisy te mają zastosowanie do kontroli w zakresie  produktów podwójnego zastosowania. Załącznik nr 1 określa wykaz produktów podwójnego zastosowania, na których </w:t>
            </w:r>
            <w:r w:rsidRPr="00064D2A">
              <w:rPr>
                <w:rFonts w:ascii="Arial" w:hAnsi="Arial" w:cs="Arial"/>
                <w:lang w:val="pl-PL" w:bidi="pl-PL"/>
              </w:rPr>
              <w:lastRenderedPageBreak/>
              <w:t xml:space="preserve">wywóz wymagane jest zezwolenie. Jednak w przypadku kamizelek oraz okryć kuloodpornych wskazanych w załączniku nr 1  chodzi o towary „cywilne”. Określone kryteria kontrolne w załączniku nr 1 dotyczące kamizelek i płyt opancerzonych wskazują, że są one niewyprodukowane zgodnie z normami wojskowymi. W przypadku płyt opancerzonych wymienionych w rozporządzeniu 2021/821 określa się, że ochrona balistyczna jest na poziomie na poziomie IIIA lub niższym. </w:t>
            </w:r>
          </w:p>
          <w:p w14:paraId="14B1A9EE" w14:textId="77777777" w:rsidR="00721ECD" w:rsidRPr="00064D2A" w:rsidRDefault="00721ECD" w:rsidP="00EC5D4B">
            <w:pPr>
              <w:jc w:val="both"/>
              <w:rPr>
                <w:rFonts w:ascii="Arial" w:hAnsi="Arial" w:cs="Arial"/>
                <w:lang w:val="pl-PL" w:bidi="pl-PL"/>
              </w:rPr>
            </w:pPr>
            <w:r w:rsidRPr="00064D2A">
              <w:rPr>
                <w:rFonts w:ascii="Arial" w:hAnsi="Arial" w:cs="Arial"/>
                <w:lang w:val="pl-PL" w:bidi="pl-PL"/>
              </w:rPr>
              <w:t xml:space="preserve">W przypadku przepisów 46i-46l projektu ustawy (które dotyczą uzbrojenia w rozumieniu przepisów wydanych na podstawie art. 6a ustawy o obrocie z zagranicą towarami o znaczeniu strategicznym) – również kamizelek, hełmów  i płyt opancerzonych – jednak takich, które są wyprodukowane zgodnie z normami wojskowymi a w przypadku płyt opancerzonych – ochrona balistyczna jest na poziomie III lub wyższym. </w:t>
            </w:r>
          </w:p>
          <w:p w14:paraId="64F6C9E6" w14:textId="77777777" w:rsidR="00721ECD" w:rsidRDefault="00721ECD" w:rsidP="00EC5D4B">
            <w:pPr>
              <w:jc w:val="both"/>
              <w:rPr>
                <w:rFonts w:ascii="Arial" w:hAnsi="Arial" w:cs="Arial"/>
                <w:lang w:val="pl-PL" w:bidi="pl-PL"/>
              </w:rPr>
            </w:pPr>
            <w:r w:rsidRPr="00064D2A">
              <w:rPr>
                <w:rFonts w:ascii="Arial" w:hAnsi="Arial" w:cs="Arial"/>
                <w:lang w:val="pl-PL" w:bidi="pl-PL"/>
              </w:rPr>
              <w:t xml:space="preserve">Jednocześnie  MRiT potwierdza, że art. 46i-46l nie ustanawiają procedur udzielania zezwolenia w rozumieniu rozporządzenia 2021/821. </w:t>
            </w:r>
          </w:p>
          <w:p w14:paraId="5A73E215" w14:textId="5A64151B" w:rsidR="00122927" w:rsidRPr="00064D2A" w:rsidRDefault="00122927" w:rsidP="00EC5D4B">
            <w:pPr>
              <w:jc w:val="both"/>
              <w:rPr>
                <w:rFonts w:ascii="Arial" w:hAnsi="Arial" w:cs="Arial"/>
                <w:b/>
                <w:bCs/>
                <w:lang w:val="pl-PL"/>
              </w:rPr>
            </w:pPr>
            <w:r>
              <w:rPr>
                <w:rFonts w:ascii="Arial" w:hAnsi="Arial" w:cs="Arial"/>
                <w:lang w:val="pl-PL" w:bidi="pl-PL"/>
              </w:rPr>
              <w:t xml:space="preserve">Po analizie regulacji- projektodawca podjął decyzję o usunięciu przepisów. </w:t>
            </w:r>
          </w:p>
        </w:tc>
      </w:tr>
      <w:tr w:rsidR="00721ECD" w:rsidRPr="00064D2A" w14:paraId="440FE4DB" w14:textId="77777777" w:rsidTr="00064D2A">
        <w:tc>
          <w:tcPr>
            <w:tcW w:w="562" w:type="dxa"/>
          </w:tcPr>
          <w:p w14:paraId="7FAD6D20" w14:textId="42CF52C1" w:rsidR="00721ECD" w:rsidRPr="00064D2A" w:rsidRDefault="00721ECD" w:rsidP="003E300A">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lastRenderedPageBreak/>
              <w:t>15.</w:t>
            </w:r>
          </w:p>
        </w:tc>
        <w:tc>
          <w:tcPr>
            <w:tcW w:w="1333" w:type="dxa"/>
          </w:tcPr>
          <w:p w14:paraId="3B406547" w14:textId="7BD02413" w:rsidR="00721ECD" w:rsidRPr="00064D2A" w:rsidRDefault="00721ECD" w:rsidP="003E300A">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Minister ds. UE-KPRM</w:t>
            </w:r>
          </w:p>
        </w:tc>
        <w:tc>
          <w:tcPr>
            <w:tcW w:w="1395" w:type="dxa"/>
          </w:tcPr>
          <w:p w14:paraId="307A29FD" w14:textId="2D66B446" w:rsidR="00721ECD" w:rsidRPr="00064D2A" w:rsidRDefault="00721ECD" w:rsidP="003E300A">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Odnośniki</w:t>
            </w:r>
          </w:p>
        </w:tc>
        <w:tc>
          <w:tcPr>
            <w:tcW w:w="3793" w:type="dxa"/>
          </w:tcPr>
          <w:p w14:paraId="27C4A3AC" w14:textId="77777777" w:rsidR="00721ECD" w:rsidRPr="003E300A" w:rsidRDefault="00721ECD" w:rsidP="003E300A">
            <w:pPr>
              <w:autoSpaceDE w:val="0"/>
              <w:autoSpaceDN w:val="0"/>
              <w:adjustRightInd w:val="0"/>
              <w:jc w:val="both"/>
              <w:rPr>
                <w:rFonts w:ascii="Arial" w:hAnsi="Arial" w:cs="Arial"/>
                <w:lang w:val="pl-PL"/>
              </w:rPr>
            </w:pPr>
            <w:r w:rsidRPr="003E300A">
              <w:rPr>
                <w:rFonts w:ascii="Arial" w:hAnsi="Arial" w:cs="Arial"/>
                <w:lang w:val="pl-PL"/>
              </w:rPr>
              <w:t>Przyjmuję uwzględnienie (zawartej pod konkluzją opinii o zgodności projektu</w:t>
            </w:r>
          </w:p>
          <w:p w14:paraId="3DC7BC33" w14:textId="77777777" w:rsidR="00721ECD" w:rsidRPr="003E300A" w:rsidRDefault="00721ECD" w:rsidP="003E300A">
            <w:pPr>
              <w:autoSpaceDE w:val="0"/>
              <w:autoSpaceDN w:val="0"/>
              <w:adjustRightInd w:val="0"/>
              <w:jc w:val="both"/>
              <w:rPr>
                <w:rFonts w:ascii="Arial" w:hAnsi="Arial" w:cs="Arial"/>
                <w:lang w:val="pl-PL"/>
              </w:rPr>
            </w:pPr>
            <w:r w:rsidRPr="003E300A">
              <w:rPr>
                <w:rFonts w:ascii="Arial" w:hAnsi="Arial" w:cs="Arial"/>
                <w:lang w:val="pl-PL"/>
              </w:rPr>
              <w:t>z prawem UE) uwagi wskazującej na konieczność zamieszczenia przy tytule</w:t>
            </w:r>
          </w:p>
          <w:p w14:paraId="702B2716" w14:textId="24440CE3" w:rsidR="00721ECD" w:rsidRPr="00064D2A" w:rsidRDefault="00721ECD" w:rsidP="003E300A">
            <w:pPr>
              <w:autoSpaceDE w:val="0"/>
              <w:autoSpaceDN w:val="0"/>
              <w:adjustRightInd w:val="0"/>
              <w:jc w:val="both"/>
              <w:rPr>
                <w:rFonts w:ascii="Arial" w:hAnsi="Arial" w:cs="Arial"/>
                <w:lang w:val="pl-PL"/>
              </w:rPr>
            </w:pPr>
            <w:r w:rsidRPr="00064D2A">
              <w:rPr>
                <w:rFonts w:ascii="Arial" w:hAnsi="Arial" w:cs="Arial"/>
                <w:lang w:val="pl-PL"/>
              </w:rPr>
              <w:t>projektowanej ustawy odnośnika informującego o tym, że służy ona stosowaniu rozporządzenia 2021/821. W związku z poszerzeniem zakresu regulacji projektu</w:t>
            </w:r>
          </w:p>
          <w:p w14:paraId="59A9968A" w14:textId="57517BD4" w:rsidR="00721ECD" w:rsidRPr="00064D2A" w:rsidRDefault="00721ECD" w:rsidP="003E300A">
            <w:pPr>
              <w:autoSpaceDE w:val="0"/>
              <w:autoSpaceDN w:val="0"/>
              <w:adjustRightInd w:val="0"/>
              <w:jc w:val="both"/>
              <w:rPr>
                <w:rFonts w:ascii="Arial" w:hAnsi="Arial" w:cs="Arial"/>
                <w:b/>
                <w:bCs/>
                <w:lang w:val="pl-PL"/>
              </w:rPr>
            </w:pPr>
            <w:r w:rsidRPr="00064D2A">
              <w:rPr>
                <w:rFonts w:ascii="Arial" w:hAnsi="Arial" w:cs="Arial"/>
                <w:lang w:val="pl-PL"/>
              </w:rPr>
              <w:t xml:space="preserve">o wdrożenie3 dyrektywy wykonawczej Komisji (UE) 2024/325 z dnia 19 stycznia 2024 r. zmieniającej dyrektywę </w:t>
            </w:r>
            <w:r w:rsidRPr="00064D2A">
              <w:rPr>
                <w:rFonts w:ascii="Arial" w:hAnsi="Arial" w:cs="Arial"/>
                <w:lang w:val="pl-PL"/>
              </w:rPr>
              <w:lastRenderedPageBreak/>
              <w:t>wykonawczą (UE) 2019/68 w odniesieniu do minimalnej głębokości oznakowania broni palnej i jej istotnych komponentów dodano także odnośnik wskazujący na to wdrożenie. Niemniej, w kontekście potrzeby notyfikacji transpozycji do Komisji Europejskiej, zasadne jest także dodanie analogicznych odnośników do tytułów samych zmienianych ustaw.</w:t>
            </w:r>
          </w:p>
        </w:tc>
        <w:tc>
          <w:tcPr>
            <w:tcW w:w="2693" w:type="dxa"/>
          </w:tcPr>
          <w:p w14:paraId="5A011ED9" w14:textId="77777777" w:rsidR="00721ECD" w:rsidRPr="00064D2A" w:rsidRDefault="00721ECD" w:rsidP="003E300A">
            <w:pPr>
              <w:autoSpaceDE w:val="0"/>
              <w:autoSpaceDN w:val="0"/>
              <w:adjustRightInd w:val="0"/>
              <w:spacing w:line="300" w:lineRule="auto"/>
              <w:jc w:val="both"/>
              <w:rPr>
                <w:rFonts w:ascii="Arial" w:hAnsi="Arial" w:cs="Arial"/>
                <w:b/>
                <w:bCs/>
                <w:lang w:val="pl-PL"/>
              </w:rPr>
            </w:pPr>
          </w:p>
        </w:tc>
        <w:tc>
          <w:tcPr>
            <w:tcW w:w="4111" w:type="dxa"/>
          </w:tcPr>
          <w:p w14:paraId="17236615" w14:textId="6D349105" w:rsidR="00721ECD" w:rsidRPr="00064D2A" w:rsidRDefault="00721ECD" w:rsidP="003E300A">
            <w:pPr>
              <w:autoSpaceDE w:val="0"/>
              <w:autoSpaceDN w:val="0"/>
              <w:adjustRightInd w:val="0"/>
              <w:jc w:val="both"/>
              <w:rPr>
                <w:rFonts w:ascii="Arial" w:hAnsi="Arial" w:cs="Arial"/>
                <w:b/>
                <w:bCs/>
                <w:lang w:val="pl-PL"/>
              </w:rPr>
            </w:pPr>
            <w:r w:rsidRPr="00064D2A">
              <w:rPr>
                <w:rFonts w:ascii="Arial" w:hAnsi="Arial" w:cs="Arial"/>
                <w:b/>
                <w:bCs/>
                <w:lang w:val="pl-PL"/>
              </w:rPr>
              <w:t>Uwaga uwzględniona</w:t>
            </w:r>
          </w:p>
        </w:tc>
      </w:tr>
      <w:tr w:rsidR="00721ECD" w:rsidRPr="00064D2A" w14:paraId="6CD65222" w14:textId="77777777" w:rsidTr="00064D2A">
        <w:tc>
          <w:tcPr>
            <w:tcW w:w="562" w:type="dxa"/>
          </w:tcPr>
          <w:p w14:paraId="30CB8C5D" w14:textId="6FEB71B1" w:rsidR="00721ECD" w:rsidRPr="00064D2A" w:rsidRDefault="00721ECD" w:rsidP="003E300A">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16.</w:t>
            </w:r>
          </w:p>
        </w:tc>
        <w:tc>
          <w:tcPr>
            <w:tcW w:w="1333" w:type="dxa"/>
          </w:tcPr>
          <w:p w14:paraId="0BD4875B" w14:textId="0B22E73D" w:rsidR="00721ECD" w:rsidRPr="00064D2A" w:rsidRDefault="00721ECD" w:rsidP="003E300A">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Minister ds. UE-KPRM</w:t>
            </w:r>
          </w:p>
        </w:tc>
        <w:tc>
          <w:tcPr>
            <w:tcW w:w="1395" w:type="dxa"/>
          </w:tcPr>
          <w:p w14:paraId="7359710B" w14:textId="170E70BF" w:rsidR="00721ECD" w:rsidRPr="00064D2A" w:rsidRDefault="00721ECD" w:rsidP="003E300A">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 xml:space="preserve">Art. 2 </w:t>
            </w:r>
          </w:p>
        </w:tc>
        <w:tc>
          <w:tcPr>
            <w:tcW w:w="3793" w:type="dxa"/>
          </w:tcPr>
          <w:p w14:paraId="55AEB1FD" w14:textId="77777777" w:rsidR="00721ECD" w:rsidRPr="003E300A" w:rsidRDefault="00721ECD" w:rsidP="003E300A">
            <w:pPr>
              <w:autoSpaceDE w:val="0"/>
              <w:autoSpaceDN w:val="0"/>
              <w:adjustRightInd w:val="0"/>
              <w:jc w:val="both"/>
              <w:rPr>
                <w:rFonts w:ascii="Arial" w:hAnsi="Arial" w:cs="Arial"/>
                <w:lang w:val="pl-PL"/>
              </w:rPr>
            </w:pPr>
            <w:r w:rsidRPr="003E300A">
              <w:rPr>
                <w:rFonts w:ascii="Arial" w:hAnsi="Arial" w:cs="Arial"/>
                <w:lang w:val="pl-PL"/>
              </w:rPr>
              <w:t>W zakresie wdrożenia dyrektywy wykonawczej 2024/325 projekt przewiduje</w:t>
            </w:r>
          </w:p>
          <w:p w14:paraId="54623BE9" w14:textId="64627000" w:rsidR="00721ECD" w:rsidRPr="003E300A" w:rsidRDefault="00721ECD" w:rsidP="003E300A">
            <w:pPr>
              <w:autoSpaceDE w:val="0"/>
              <w:autoSpaceDN w:val="0"/>
              <w:adjustRightInd w:val="0"/>
              <w:jc w:val="both"/>
              <w:rPr>
                <w:rFonts w:ascii="Arial" w:hAnsi="Arial" w:cs="Arial"/>
                <w:lang w:val="pl-PL"/>
              </w:rPr>
            </w:pPr>
            <w:r w:rsidRPr="003E300A">
              <w:rPr>
                <w:rFonts w:ascii="Arial" w:hAnsi="Arial" w:cs="Arial"/>
                <w:lang w:val="pl-PL"/>
              </w:rPr>
              <w:t>zmianę w ustawie z dnia 13 czerwca 2019 r. o wykonywaniu działalności gospodarczej</w:t>
            </w:r>
            <w:r w:rsidRPr="00064D2A">
              <w:rPr>
                <w:rFonts w:ascii="Arial" w:hAnsi="Arial" w:cs="Arial"/>
                <w:lang w:val="pl-PL"/>
              </w:rPr>
              <w:t xml:space="preserve"> </w:t>
            </w:r>
            <w:r w:rsidRPr="003E300A">
              <w:rPr>
                <w:rFonts w:ascii="Arial" w:hAnsi="Arial" w:cs="Arial"/>
                <w:lang w:val="pl-PL"/>
              </w:rPr>
              <w:t>w zakresie wytwarzania i obrotu materiałami wybuchowymi, bronią, amunicją oraz</w:t>
            </w:r>
          </w:p>
          <w:p w14:paraId="52291B4A" w14:textId="17E01CB6" w:rsidR="00721ECD" w:rsidRPr="003E300A" w:rsidRDefault="00721ECD" w:rsidP="003E300A">
            <w:pPr>
              <w:autoSpaceDE w:val="0"/>
              <w:autoSpaceDN w:val="0"/>
              <w:adjustRightInd w:val="0"/>
              <w:jc w:val="both"/>
              <w:rPr>
                <w:rFonts w:ascii="Arial" w:hAnsi="Arial" w:cs="Arial"/>
                <w:lang w:val="pl-PL"/>
              </w:rPr>
            </w:pPr>
            <w:r w:rsidRPr="003E300A">
              <w:rPr>
                <w:rFonts w:ascii="Arial" w:hAnsi="Arial" w:cs="Arial"/>
                <w:lang w:val="pl-PL"/>
              </w:rPr>
              <w:t>wyrobami i technologią o przeznaczeniu wojskowym lub policyjnym (dalej: „ustawa</w:t>
            </w:r>
            <w:r w:rsidRPr="00064D2A">
              <w:rPr>
                <w:rFonts w:ascii="Arial" w:hAnsi="Arial" w:cs="Arial"/>
                <w:lang w:val="pl-PL"/>
              </w:rPr>
              <w:t xml:space="preserve"> </w:t>
            </w:r>
            <w:r w:rsidRPr="003E300A">
              <w:rPr>
                <w:rFonts w:ascii="Arial" w:hAnsi="Arial" w:cs="Arial"/>
                <w:lang w:val="pl-PL"/>
              </w:rPr>
              <w:t>o wykonywaniu działalności”, polegającą na dodaniu ust. 2aa w art. 44, zgodnie</w:t>
            </w:r>
            <w:r w:rsidRPr="00064D2A">
              <w:rPr>
                <w:rFonts w:ascii="Arial" w:hAnsi="Arial" w:cs="Arial"/>
                <w:lang w:val="pl-PL"/>
              </w:rPr>
              <w:t xml:space="preserve"> </w:t>
            </w:r>
            <w:r w:rsidRPr="003E300A">
              <w:rPr>
                <w:rFonts w:ascii="Arial" w:hAnsi="Arial" w:cs="Arial"/>
                <w:lang w:val="pl-PL"/>
              </w:rPr>
              <w:t>z którym „minimalna głębokość oznakowania wynosi co najmniej 0,0762 milimetra”.</w:t>
            </w:r>
          </w:p>
          <w:p w14:paraId="1978789C" w14:textId="2D033B95" w:rsidR="00721ECD" w:rsidRPr="003E300A" w:rsidRDefault="00721ECD" w:rsidP="003E300A">
            <w:pPr>
              <w:autoSpaceDE w:val="0"/>
              <w:autoSpaceDN w:val="0"/>
              <w:adjustRightInd w:val="0"/>
              <w:jc w:val="both"/>
              <w:rPr>
                <w:rFonts w:ascii="Arial" w:hAnsi="Arial" w:cs="Arial"/>
                <w:lang w:val="pl-PL"/>
              </w:rPr>
            </w:pPr>
            <w:r w:rsidRPr="003E300A">
              <w:rPr>
                <w:rFonts w:ascii="Arial" w:hAnsi="Arial" w:cs="Arial"/>
                <w:lang w:val="pl-PL"/>
              </w:rPr>
              <w:t>Biorąc pod uwagę systematykę art. 44 ustawy wątpliwości budzi to, do jakiego</w:t>
            </w:r>
            <w:r w:rsidRPr="00064D2A">
              <w:rPr>
                <w:rFonts w:ascii="Arial" w:hAnsi="Arial" w:cs="Arial"/>
                <w:lang w:val="pl-PL"/>
              </w:rPr>
              <w:t xml:space="preserve"> </w:t>
            </w:r>
            <w:r w:rsidRPr="003E300A">
              <w:rPr>
                <w:rFonts w:ascii="Arial" w:hAnsi="Arial" w:cs="Arial"/>
                <w:lang w:val="pl-PL"/>
              </w:rPr>
              <w:t>rodzaju broni odnosi się projektowany przepis. Co prawda, zgodnie z art. 44 ust. 1</w:t>
            </w:r>
            <w:r w:rsidRPr="00064D2A">
              <w:rPr>
                <w:rFonts w:ascii="Arial" w:hAnsi="Arial" w:cs="Arial"/>
                <w:lang w:val="pl-PL"/>
              </w:rPr>
              <w:t xml:space="preserve"> </w:t>
            </w:r>
            <w:r w:rsidRPr="003E300A">
              <w:rPr>
                <w:rFonts w:ascii="Arial" w:hAnsi="Arial" w:cs="Arial"/>
                <w:lang w:val="pl-PL"/>
              </w:rPr>
              <w:t>ustawy każdy egzemplarz „broni palnej, w tym strzeleckiej broni palnej, i każda</w:t>
            </w:r>
            <w:r w:rsidRPr="00064D2A">
              <w:rPr>
                <w:rFonts w:ascii="Arial" w:hAnsi="Arial" w:cs="Arial"/>
                <w:lang w:val="pl-PL"/>
              </w:rPr>
              <w:t xml:space="preserve"> </w:t>
            </w:r>
            <w:r w:rsidRPr="003E300A">
              <w:rPr>
                <w:rFonts w:ascii="Arial" w:hAnsi="Arial" w:cs="Arial"/>
                <w:lang w:val="pl-PL"/>
              </w:rPr>
              <w:t>istotna część” podlegają oznakowaniu przez wytwórcę niezwłocznie po</w:t>
            </w:r>
            <w:r w:rsidRPr="00064D2A">
              <w:rPr>
                <w:rFonts w:ascii="Arial" w:hAnsi="Arial" w:cs="Arial"/>
                <w:lang w:val="pl-PL"/>
              </w:rPr>
              <w:t xml:space="preserve"> </w:t>
            </w:r>
            <w:r w:rsidRPr="003E300A">
              <w:rPr>
                <w:rFonts w:ascii="Arial" w:hAnsi="Arial" w:cs="Arial"/>
                <w:lang w:val="pl-PL"/>
              </w:rPr>
              <w:t>wytworzeniu.</w:t>
            </w:r>
          </w:p>
          <w:p w14:paraId="3DB7C506" w14:textId="77777777" w:rsidR="00721ECD" w:rsidRPr="003E300A" w:rsidRDefault="00721ECD" w:rsidP="003E300A">
            <w:pPr>
              <w:autoSpaceDE w:val="0"/>
              <w:autoSpaceDN w:val="0"/>
              <w:adjustRightInd w:val="0"/>
              <w:jc w:val="both"/>
              <w:rPr>
                <w:rFonts w:ascii="Arial" w:hAnsi="Arial" w:cs="Arial"/>
                <w:lang w:val="pl-PL"/>
              </w:rPr>
            </w:pPr>
            <w:r w:rsidRPr="003E300A">
              <w:rPr>
                <w:rFonts w:ascii="Arial" w:hAnsi="Arial" w:cs="Arial"/>
                <w:lang w:val="pl-PL"/>
              </w:rPr>
              <w:t>Niemniej art. 44 ust. 2 odnosi się jedynie do strzeleckiej broni palnej, co pozwala na</w:t>
            </w:r>
          </w:p>
          <w:p w14:paraId="4E0E548A" w14:textId="77777777" w:rsidR="00721ECD" w:rsidRPr="003E300A" w:rsidRDefault="00721ECD" w:rsidP="003E300A">
            <w:pPr>
              <w:autoSpaceDE w:val="0"/>
              <w:autoSpaceDN w:val="0"/>
              <w:adjustRightInd w:val="0"/>
              <w:jc w:val="both"/>
              <w:rPr>
                <w:rFonts w:ascii="Arial" w:hAnsi="Arial" w:cs="Arial"/>
                <w:lang w:val="pl-PL"/>
              </w:rPr>
            </w:pPr>
            <w:r w:rsidRPr="003E300A">
              <w:rPr>
                <w:rFonts w:ascii="Arial" w:hAnsi="Arial" w:cs="Arial"/>
                <w:lang w:val="pl-PL"/>
              </w:rPr>
              <w:t>interpretację, zgodnie z którą następujące po nim ustępy także odnoszą się jedynie</w:t>
            </w:r>
          </w:p>
          <w:p w14:paraId="730F0C94" w14:textId="77777777" w:rsidR="00721ECD" w:rsidRPr="00064D2A" w:rsidRDefault="00721ECD" w:rsidP="003E300A">
            <w:pPr>
              <w:autoSpaceDE w:val="0"/>
              <w:autoSpaceDN w:val="0"/>
              <w:adjustRightInd w:val="0"/>
              <w:jc w:val="both"/>
              <w:rPr>
                <w:rFonts w:ascii="Arial" w:hAnsi="Arial" w:cs="Arial"/>
                <w:lang w:val="pl-PL"/>
              </w:rPr>
            </w:pPr>
            <w:r w:rsidRPr="00064D2A">
              <w:rPr>
                <w:rFonts w:ascii="Arial" w:hAnsi="Arial" w:cs="Arial"/>
                <w:lang w:val="pl-PL"/>
              </w:rPr>
              <w:lastRenderedPageBreak/>
              <w:t>do tego rodzaju broni, o ile nie wskazano w nich inaczej.</w:t>
            </w:r>
          </w:p>
          <w:p w14:paraId="1DB4BF6B" w14:textId="77777777" w:rsidR="00721ECD" w:rsidRPr="005A49E1" w:rsidRDefault="00721ECD" w:rsidP="005A49E1">
            <w:pPr>
              <w:autoSpaceDE w:val="0"/>
              <w:autoSpaceDN w:val="0"/>
              <w:adjustRightInd w:val="0"/>
              <w:jc w:val="both"/>
              <w:rPr>
                <w:rFonts w:ascii="Arial" w:hAnsi="Arial" w:cs="Arial"/>
                <w:lang w:val="pl-PL"/>
              </w:rPr>
            </w:pPr>
            <w:r w:rsidRPr="005A49E1">
              <w:rPr>
                <w:rFonts w:ascii="Arial" w:hAnsi="Arial" w:cs="Arial"/>
                <w:lang w:val="pl-PL"/>
              </w:rPr>
              <w:t>W tym kontekście należy wskazać po pierwsze, że art. 4 ust. 1 lit a) dyrektywy</w:t>
            </w:r>
          </w:p>
          <w:p w14:paraId="3A202F15" w14:textId="77777777" w:rsidR="00721ECD" w:rsidRPr="005A49E1" w:rsidRDefault="00721ECD" w:rsidP="005A49E1">
            <w:pPr>
              <w:autoSpaceDE w:val="0"/>
              <w:autoSpaceDN w:val="0"/>
              <w:adjustRightInd w:val="0"/>
              <w:jc w:val="both"/>
              <w:rPr>
                <w:rFonts w:ascii="Arial" w:hAnsi="Arial" w:cs="Arial"/>
                <w:lang w:val="pl-PL"/>
              </w:rPr>
            </w:pPr>
            <w:r w:rsidRPr="005A49E1">
              <w:rPr>
                <w:rFonts w:ascii="Arial" w:hAnsi="Arial" w:cs="Arial"/>
                <w:lang w:val="pl-PL"/>
              </w:rPr>
              <w:t>2021/5554 (na podstawie której została wydana dyrektywa wykonawcza</w:t>
            </w:r>
          </w:p>
          <w:p w14:paraId="7FBB0FD8" w14:textId="77777777" w:rsidR="00721ECD" w:rsidRPr="005A49E1" w:rsidRDefault="00721ECD" w:rsidP="005A49E1">
            <w:pPr>
              <w:autoSpaceDE w:val="0"/>
              <w:autoSpaceDN w:val="0"/>
              <w:adjustRightInd w:val="0"/>
              <w:jc w:val="both"/>
              <w:rPr>
                <w:rFonts w:ascii="Arial" w:hAnsi="Arial" w:cs="Arial"/>
                <w:lang w:val="pl-PL"/>
              </w:rPr>
            </w:pPr>
            <w:r w:rsidRPr="005A49E1">
              <w:rPr>
                <w:rFonts w:ascii="Arial" w:hAnsi="Arial" w:cs="Arial"/>
                <w:lang w:val="pl-PL"/>
              </w:rPr>
              <w:t>2024/325) wymaga zapewnienia aby każda broń palna wytworzona lub</w:t>
            </w:r>
          </w:p>
          <w:p w14:paraId="465BBBCB" w14:textId="77777777" w:rsidR="00721ECD" w:rsidRPr="005A49E1" w:rsidRDefault="00721ECD" w:rsidP="005A49E1">
            <w:pPr>
              <w:autoSpaceDE w:val="0"/>
              <w:autoSpaceDN w:val="0"/>
              <w:adjustRightInd w:val="0"/>
              <w:jc w:val="both"/>
              <w:rPr>
                <w:rFonts w:ascii="Arial" w:hAnsi="Arial" w:cs="Arial"/>
                <w:lang w:val="pl-PL"/>
              </w:rPr>
            </w:pPr>
            <w:r w:rsidRPr="005A49E1">
              <w:rPr>
                <w:rFonts w:ascii="Arial" w:hAnsi="Arial" w:cs="Arial"/>
                <w:lang w:val="pl-PL"/>
              </w:rPr>
              <w:t>przywieziona do Unii lub każdy istotny komponent zostały opatrzone czytelnym,</w:t>
            </w:r>
          </w:p>
          <w:p w14:paraId="48402AFE" w14:textId="77777777" w:rsidR="00721ECD" w:rsidRPr="005A49E1" w:rsidRDefault="00721ECD" w:rsidP="005A49E1">
            <w:pPr>
              <w:autoSpaceDE w:val="0"/>
              <w:autoSpaceDN w:val="0"/>
              <w:adjustRightInd w:val="0"/>
              <w:jc w:val="both"/>
              <w:rPr>
                <w:rFonts w:ascii="Arial" w:hAnsi="Arial" w:cs="Arial"/>
                <w:lang w:val="pl-PL"/>
              </w:rPr>
            </w:pPr>
            <w:r w:rsidRPr="005A49E1">
              <w:rPr>
                <w:rFonts w:ascii="Arial" w:hAnsi="Arial" w:cs="Arial"/>
                <w:lang w:val="pl-PL"/>
              </w:rPr>
              <w:t>trwałym i niepowtarzalnym oznakowaniem. Także załącznik do zmienionej</w:t>
            </w:r>
          </w:p>
          <w:p w14:paraId="60BE40B7" w14:textId="77777777" w:rsidR="00721ECD" w:rsidRPr="005A49E1" w:rsidRDefault="00721ECD" w:rsidP="005A49E1">
            <w:pPr>
              <w:autoSpaceDE w:val="0"/>
              <w:autoSpaceDN w:val="0"/>
              <w:adjustRightInd w:val="0"/>
              <w:jc w:val="both"/>
              <w:rPr>
                <w:rFonts w:ascii="Arial" w:hAnsi="Arial" w:cs="Arial"/>
                <w:lang w:val="pl-PL"/>
              </w:rPr>
            </w:pPr>
            <w:r w:rsidRPr="005A49E1">
              <w:rPr>
                <w:rFonts w:ascii="Arial" w:hAnsi="Arial" w:cs="Arial"/>
                <w:lang w:val="pl-PL"/>
              </w:rPr>
              <w:t>dyrektywą wykonawczą 2024/325 dyrektywy wykonawczej 2019/685 odnosi się do</w:t>
            </w:r>
          </w:p>
          <w:p w14:paraId="7DC5A2A4" w14:textId="77777777" w:rsidR="00721ECD" w:rsidRPr="005A49E1" w:rsidRDefault="00721ECD" w:rsidP="005A49E1">
            <w:pPr>
              <w:autoSpaceDE w:val="0"/>
              <w:autoSpaceDN w:val="0"/>
              <w:adjustRightInd w:val="0"/>
              <w:jc w:val="both"/>
              <w:rPr>
                <w:rFonts w:ascii="Arial" w:hAnsi="Arial" w:cs="Arial"/>
                <w:lang w:val="pl-PL"/>
              </w:rPr>
            </w:pPr>
            <w:r w:rsidRPr="005A49E1">
              <w:rPr>
                <w:rFonts w:ascii="Arial" w:hAnsi="Arial" w:cs="Arial"/>
                <w:lang w:val="pl-PL"/>
              </w:rPr>
              <w:t>„oznakowania broni palnej i jej istotnych komponentów”. Tymczasem nie jest jasne</w:t>
            </w:r>
          </w:p>
          <w:p w14:paraId="21FD5894" w14:textId="77777777" w:rsidR="00721ECD" w:rsidRPr="005A49E1" w:rsidRDefault="00721ECD" w:rsidP="005A49E1">
            <w:pPr>
              <w:autoSpaceDE w:val="0"/>
              <w:autoSpaceDN w:val="0"/>
              <w:adjustRightInd w:val="0"/>
              <w:jc w:val="both"/>
              <w:rPr>
                <w:rFonts w:ascii="Arial" w:hAnsi="Arial" w:cs="Arial"/>
                <w:lang w:val="pl-PL"/>
              </w:rPr>
            </w:pPr>
            <w:r w:rsidRPr="005A49E1">
              <w:rPr>
                <w:rFonts w:ascii="Arial" w:hAnsi="Arial" w:cs="Arial"/>
                <w:lang w:val="pl-PL"/>
              </w:rPr>
              <w:t>czy projektowany przepis odnosi się także do oznakowania istotnych komponentów</w:t>
            </w:r>
          </w:p>
          <w:p w14:paraId="0F3BE7EE" w14:textId="77777777" w:rsidR="00721ECD" w:rsidRPr="005A49E1" w:rsidRDefault="00721ECD" w:rsidP="005A49E1">
            <w:pPr>
              <w:autoSpaceDE w:val="0"/>
              <w:autoSpaceDN w:val="0"/>
              <w:adjustRightInd w:val="0"/>
              <w:jc w:val="both"/>
              <w:rPr>
                <w:rFonts w:ascii="Arial" w:hAnsi="Arial" w:cs="Arial"/>
                <w:lang w:val="pl-PL"/>
              </w:rPr>
            </w:pPr>
            <w:r w:rsidRPr="005A49E1">
              <w:rPr>
                <w:rFonts w:ascii="Arial" w:hAnsi="Arial" w:cs="Arial"/>
                <w:lang w:val="pl-PL"/>
              </w:rPr>
              <w:t>broni palnej.</w:t>
            </w:r>
          </w:p>
          <w:p w14:paraId="4E7D80A3" w14:textId="14EE07DC" w:rsidR="00721ECD" w:rsidRPr="005A49E1" w:rsidRDefault="00721ECD" w:rsidP="005A49E1">
            <w:pPr>
              <w:autoSpaceDE w:val="0"/>
              <w:autoSpaceDN w:val="0"/>
              <w:adjustRightInd w:val="0"/>
              <w:jc w:val="both"/>
              <w:rPr>
                <w:rFonts w:ascii="Arial" w:hAnsi="Arial" w:cs="Arial"/>
                <w:lang w:val="pl-PL"/>
              </w:rPr>
            </w:pPr>
            <w:r w:rsidRPr="005A49E1">
              <w:rPr>
                <w:rFonts w:ascii="Arial" w:hAnsi="Arial" w:cs="Arial"/>
                <w:lang w:val="pl-PL"/>
              </w:rPr>
              <w:t>Po drugie pojęcie „broni palnej”, zgodnie z art. 1 pkt 1 dyrektywy 2021/555 oznacza</w:t>
            </w:r>
            <w:r w:rsidRPr="00064D2A">
              <w:rPr>
                <w:rFonts w:ascii="Arial" w:hAnsi="Arial" w:cs="Arial"/>
                <w:lang w:val="pl-PL"/>
              </w:rPr>
              <w:t xml:space="preserve"> </w:t>
            </w:r>
            <w:r w:rsidRPr="005A49E1">
              <w:rPr>
                <w:rFonts w:ascii="Arial" w:hAnsi="Arial" w:cs="Arial"/>
                <w:lang w:val="pl-PL"/>
              </w:rPr>
              <w:t>każdą przenośną broń lufową, która miota, jest przeznaczona do miotania lub może</w:t>
            </w:r>
            <w:r w:rsidRPr="00064D2A">
              <w:rPr>
                <w:rFonts w:ascii="Arial" w:hAnsi="Arial" w:cs="Arial"/>
                <w:lang w:val="pl-PL"/>
              </w:rPr>
              <w:t xml:space="preserve"> </w:t>
            </w:r>
            <w:r w:rsidRPr="005A49E1">
              <w:rPr>
                <w:rFonts w:ascii="Arial" w:hAnsi="Arial" w:cs="Arial"/>
                <w:lang w:val="pl-PL"/>
              </w:rPr>
              <w:t>zostać przerobiona tak, aby miotała śrut, kulę lub pocisk w wyniku działania palnego</w:t>
            </w:r>
            <w:r w:rsidRPr="00064D2A">
              <w:rPr>
                <w:rFonts w:ascii="Arial" w:hAnsi="Arial" w:cs="Arial"/>
                <w:lang w:val="pl-PL"/>
              </w:rPr>
              <w:t xml:space="preserve"> </w:t>
            </w:r>
            <w:r w:rsidRPr="005A49E1">
              <w:rPr>
                <w:rFonts w:ascii="Arial" w:hAnsi="Arial" w:cs="Arial"/>
                <w:lang w:val="pl-PL"/>
              </w:rPr>
              <w:t>materiału miotającego.</w:t>
            </w:r>
          </w:p>
          <w:p w14:paraId="49529BAC" w14:textId="63B6E35F" w:rsidR="00721ECD" w:rsidRPr="00064D2A" w:rsidRDefault="00721ECD" w:rsidP="003E1A5B">
            <w:pPr>
              <w:autoSpaceDE w:val="0"/>
              <w:autoSpaceDN w:val="0"/>
              <w:adjustRightInd w:val="0"/>
              <w:jc w:val="both"/>
              <w:rPr>
                <w:rFonts w:ascii="Arial" w:hAnsi="Arial" w:cs="Arial"/>
                <w:lang w:val="pl-PL"/>
              </w:rPr>
            </w:pPr>
            <w:r w:rsidRPr="005A49E1">
              <w:rPr>
                <w:rFonts w:ascii="Arial" w:hAnsi="Arial" w:cs="Arial"/>
                <w:lang w:val="pl-PL"/>
              </w:rPr>
              <w:t>Pojęcie broni strzeleckiej, zdefiniowane w art. 3 ust. 1 pkt 11 ustawy o wykonywaniu</w:t>
            </w:r>
            <w:r w:rsidRPr="00064D2A">
              <w:rPr>
                <w:rFonts w:ascii="Arial" w:hAnsi="Arial" w:cs="Arial"/>
                <w:lang w:val="pl-PL"/>
              </w:rPr>
              <w:t xml:space="preserve"> </w:t>
            </w:r>
            <w:r w:rsidRPr="005A49E1">
              <w:rPr>
                <w:rFonts w:ascii="Arial" w:hAnsi="Arial" w:cs="Arial"/>
                <w:lang w:val="pl-PL"/>
              </w:rPr>
              <w:t>działalności odnosi się natomiast jedynie do broni przeznaczonej do miotania</w:t>
            </w:r>
            <w:r w:rsidRPr="00064D2A">
              <w:rPr>
                <w:rFonts w:ascii="Arial" w:hAnsi="Arial" w:cs="Arial"/>
                <w:lang w:val="pl-PL"/>
              </w:rPr>
              <w:t xml:space="preserve"> pocisku, które to pojęcie nie zostało zdefiniowane w ustawie.</w:t>
            </w:r>
          </w:p>
        </w:tc>
        <w:tc>
          <w:tcPr>
            <w:tcW w:w="2693" w:type="dxa"/>
          </w:tcPr>
          <w:p w14:paraId="012AE5E3" w14:textId="35CBDC95" w:rsidR="00721ECD" w:rsidRPr="00064D2A" w:rsidRDefault="00721ECD" w:rsidP="005A49E1">
            <w:pPr>
              <w:autoSpaceDE w:val="0"/>
              <w:autoSpaceDN w:val="0"/>
              <w:adjustRightInd w:val="0"/>
              <w:jc w:val="both"/>
              <w:rPr>
                <w:rFonts w:ascii="Arial" w:hAnsi="Arial" w:cs="Arial"/>
                <w:b/>
                <w:bCs/>
                <w:lang w:val="pl-PL"/>
              </w:rPr>
            </w:pPr>
            <w:r w:rsidRPr="005A49E1">
              <w:rPr>
                <w:rFonts w:ascii="Arial" w:hAnsi="Arial" w:cs="Arial"/>
                <w:lang w:val="pl-PL"/>
              </w:rPr>
              <w:lastRenderedPageBreak/>
              <w:t>W tym kontekście niezbędne jest doprecyzowanie projektowanego przepisu w taki</w:t>
            </w:r>
            <w:r w:rsidRPr="00064D2A">
              <w:rPr>
                <w:rFonts w:ascii="Arial" w:hAnsi="Arial" w:cs="Arial"/>
                <w:lang w:val="pl-PL"/>
              </w:rPr>
              <w:t xml:space="preserve"> sposób, by nie ulegało wątpliwości, że odnosi się on do broni palnej w rozumieniu dyrektywy 2021/555, a także, że obejmuje również oznakowanie jej istotnych komponentów.</w:t>
            </w:r>
          </w:p>
        </w:tc>
        <w:tc>
          <w:tcPr>
            <w:tcW w:w="4111" w:type="dxa"/>
          </w:tcPr>
          <w:p w14:paraId="5A8ECE45" w14:textId="77777777" w:rsidR="00721ECD" w:rsidRPr="00064D2A" w:rsidRDefault="00721ECD" w:rsidP="003E1A5B">
            <w:pPr>
              <w:autoSpaceDE w:val="0"/>
              <w:autoSpaceDN w:val="0"/>
              <w:adjustRightInd w:val="0"/>
              <w:jc w:val="both"/>
              <w:rPr>
                <w:rFonts w:ascii="Arial" w:hAnsi="Arial" w:cs="Arial"/>
                <w:b/>
                <w:bCs/>
                <w:lang w:val="pl-PL"/>
              </w:rPr>
            </w:pPr>
            <w:r w:rsidRPr="00064D2A">
              <w:rPr>
                <w:rFonts w:ascii="Arial" w:hAnsi="Arial" w:cs="Arial"/>
                <w:b/>
                <w:bCs/>
                <w:lang w:val="pl-PL"/>
              </w:rPr>
              <w:t>Wyjaśnienie-</w:t>
            </w:r>
          </w:p>
          <w:p w14:paraId="203C2993" w14:textId="77777777" w:rsidR="00721ECD" w:rsidRPr="00064D2A" w:rsidRDefault="00721ECD" w:rsidP="003E1A5B">
            <w:pPr>
              <w:autoSpaceDE w:val="0"/>
              <w:autoSpaceDN w:val="0"/>
              <w:adjustRightInd w:val="0"/>
              <w:jc w:val="both"/>
              <w:rPr>
                <w:rFonts w:ascii="Arial" w:hAnsi="Arial" w:cs="Arial"/>
                <w:b/>
                <w:bCs/>
                <w:lang w:val="pl-PL"/>
              </w:rPr>
            </w:pPr>
          </w:p>
          <w:p w14:paraId="315FD69B" w14:textId="77777777" w:rsidR="00721ECD" w:rsidRPr="00064D2A" w:rsidRDefault="00721ECD" w:rsidP="003E1A5B">
            <w:pPr>
              <w:jc w:val="both"/>
              <w:rPr>
                <w:rFonts w:ascii="Arial" w:hAnsi="Arial" w:cs="Arial"/>
                <w:lang w:val="pl-PL" w:bidi="pl-PL"/>
              </w:rPr>
            </w:pPr>
            <w:r w:rsidRPr="00064D2A">
              <w:rPr>
                <w:rFonts w:ascii="Arial" w:hAnsi="Arial" w:cs="Arial"/>
                <w:lang w:val="pl-PL" w:bidi="pl-PL"/>
              </w:rPr>
              <w:t xml:space="preserve">Definicje zawarte w ustawie z dnia 13 czerwca 2019 r. o wykonywaniu działalności gospodarczej w zakresie wytwarzania i obrotu materiałami wybuchowymi, bronią, amunicją, oraz wyrobami i technologią o przeznaczeniu wojskowym lub policyjnym (zwanej dalej ,,ustawa koncesyjna”) wynikają z zawartych w rozporządzeniu UE 258/2012 definicji: „broń palna” i jej „istotne komponenty” oraz „amunicja”. Ponieważ ustawa odnosi się do wszystkich rodzajów broni i amunicji, nie zaś wyłącznie do broni i amunicji cywilnej, należało skonstruować nowe pojęcia w taki sposób, aby zawierały one odniesienie wprost do przepisów rozporządzenia UE 258/2012 oraz określały broń i amunicję wykorzystywaną poza sektorem cywilnym. Broń palną, którą można posiadać na podstawie indywidualnych pozwoleń na broń, tj. broń, której dotyczy rozporządzenie UE 258/2012 i dyrektywa 2021/555 (oraz poprzedzająca ją dyrektywa 91/477/EWG) w sprawie kontroli nabywania i posiadania broni, na potrzeby ustawy nazwano „strzelecką bronią palną”. Taka sama zasada została zastosowana przy konstrukcji nowej definicji pojęcia „amunicja”, która uwzględnia </w:t>
            </w:r>
            <w:r w:rsidRPr="00064D2A">
              <w:rPr>
                <w:rFonts w:ascii="Arial" w:hAnsi="Arial" w:cs="Arial"/>
                <w:lang w:val="pl-PL" w:bidi="pl-PL"/>
              </w:rPr>
              <w:lastRenderedPageBreak/>
              <w:t>amunicję mającą zastosowanie zarówno w sektorze cywilnym, jak i wojskowym.</w:t>
            </w:r>
          </w:p>
          <w:p w14:paraId="6F56877E" w14:textId="07B477AD" w:rsidR="00721ECD" w:rsidRPr="00064D2A" w:rsidRDefault="00721ECD" w:rsidP="003E1A5B">
            <w:pPr>
              <w:jc w:val="both"/>
              <w:rPr>
                <w:rFonts w:ascii="Arial" w:hAnsi="Arial" w:cs="Arial"/>
                <w:lang w:val="pl-PL" w:bidi="pl-PL"/>
              </w:rPr>
            </w:pPr>
            <w:r w:rsidRPr="00064D2A">
              <w:rPr>
                <w:rFonts w:ascii="Arial" w:hAnsi="Arial" w:cs="Arial"/>
                <w:lang w:val="pl-PL" w:bidi="pl-PL"/>
              </w:rPr>
              <w:t>Broń palna, której dotyczy dyrektywa, została sklasyfikowana (wyszczególniona) w Części II Załącznika I dyrektywy 91/477/EWG (aktualnie 2021/555). W trakcie prac nad ustawą koncesyjną, w wyniku analizy powyższych zapisów, przeprowadzonej z udziałem ekspertów (MSWiA, Centralnego Laboratorium Kryminalistycznego Policji, Wojskowej Akademii Technicznej, Wojskowego Instytutu Technicznego Uzbrojenia, Inspektoratu Uzbrojenia MON) w dziedzinie techniki uzbrojenia, stwierdzono, że broń sklasyfikowana w Części II Załącznika I oraz opisana w dyrektywie określeniem „broń palna” mieści się w funkcjonującym w Polsce i właściwym merytorycznie (technicznie) pojęciu „strzelecka broń palna”.</w:t>
            </w:r>
          </w:p>
          <w:p w14:paraId="6598E961" w14:textId="4A2A0FCE" w:rsidR="00721ECD" w:rsidRPr="00064D2A" w:rsidRDefault="00721ECD" w:rsidP="003E1A5B">
            <w:pPr>
              <w:jc w:val="both"/>
              <w:rPr>
                <w:rFonts w:ascii="Arial" w:hAnsi="Arial" w:cs="Arial"/>
                <w:lang w:val="pl-PL" w:bidi="pl-PL"/>
              </w:rPr>
            </w:pPr>
            <w:r w:rsidRPr="00064D2A">
              <w:rPr>
                <w:rFonts w:ascii="Arial" w:hAnsi="Arial" w:cs="Arial"/>
                <w:lang w:val="pl-PL" w:bidi="pl-PL"/>
              </w:rPr>
              <w:t>Z uwagi na to, że ustawa koncesyjna reguluje wykonywanie działalności gospodarczej m.in. w zakresie wytwarzania i obrotu bronią i amunicją, przy czym dotyczy ona również broni i amunicji, które nie są objęte dyrektywą, a jednocześnie jest to specyficzna działalność gospodarcza, wprowadzono słownik pojęciowy zawierający definicje zgodne z przepisami prawa europejskiego, a jednocześnie właściwe pod względem technicznym. Wprowadzony słownik pojęciowy pozwala organom i przedsiębiorcom stosującym ustawę w praktyce uniknąć błędów interpretacyjnych.</w:t>
            </w:r>
          </w:p>
          <w:p w14:paraId="363E0AC7" w14:textId="77777777" w:rsidR="00721ECD" w:rsidRPr="00064D2A" w:rsidRDefault="00721ECD" w:rsidP="003E1A5B">
            <w:pPr>
              <w:jc w:val="both"/>
              <w:rPr>
                <w:rFonts w:ascii="Arial" w:hAnsi="Arial" w:cs="Arial"/>
                <w:lang w:val="pl-PL" w:bidi="pl-PL"/>
              </w:rPr>
            </w:pPr>
            <w:r w:rsidRPr="00064D2A">
              <w:rPr>
                <w:rFonts w:ascii="Arial" w:hAnsi="Arial" w:cs="Arial"/>
                <w:lang w:val="pl-PL" w:bidi="pl-PL"/>
              </w:rPr>
              <w:t xml:space="preserve">Wprowadzone w ustawie koncesyjnej pojęcie „broń palna” jest pojęciem szerokim, obejmującym każdą broń, w której do miotania pocisku lub substancji drażniących, innych substancji aktywnych, nabojów </w:t>
            </w:r>
            <w:r w:rsidRPr="00064D2A">
              <w:rPr>
                <w:rFonts w:ascii="Arial" w:hAnsi="Arial" w:cs="Arial"/>
                <w:lang w:val="pl-PL" w:bidi="pl-PL"/>
              </w:rPr>
              <w:lastRenderedPageBreak/>
              <w:t>pirotechnicznych lub do wytwarzania efektów dźwiękowo wizualnych jest wykorzystywana energia produktów powstałych w wyniku reakcji chemicznej ładunku miotającego. Jednocześnie definiowane jest pojęcie ładunku miotającego – przez który należy rozumieć określoną ilość materiału wybuchowego lub kombinacji materiałów wybuchowych, które w wyniku reakcji chemicznej wytwarzają produkty gazowe zdolne do miotania pocisku lub chemicznego środka obezwładniającego lub do wytwarzania efektów dźwiękowo-wizualnych.</w:t>
            </w:r>
          </w:p>
          <w:p w14:paraId="05303449" w14:textId="77777777" w:rsidR="00721ECD" w:rsidRPr="00064D2A" w:rsidRDefault="00721ECD" w:rsidP="003E1A5B">
            <w:pPr>
              <w:jc w:val="both"/>
              <w:rPr>
                <w:rFonts w:ascii="Arial" w:hAnsi="Arial" w:cs="Arial"/>
                <w:lang w:val="pl-PL" w:bidi="pl-PL"/>
              </w:rPr>
            </w:pPr>
            <w:r w:rsidRPr="00064D2A">
              <w:rPr>
                <w:rFonts w:ascii="Arial" w:hAnsi="Arial" w:cs="Arial"/>
                <w:lang w:val="pl-PL" w:bidi="pl-PL"/>
              </w:rPr>
              <w:t xml:space="preserve">Dyrektywa 2021/555 (oraz poprzedzająca ją dyrektywa 91/477/EWG), definiując broń palną, posługuje się pojęciem „palnego materiału miotającego”, jako substancji wykorzystywanej do miotania pocisku. Ustawa z dnia 21 maja 1999 r. o broni i amunicji, definiując broń palną, posługuje się pojęciem „materiału miotającego”. Taka konstrukcja przepisów nasuwała konieczność interpretacji, na potrzeby zarówno osób posiadających lub zamierzających nabyć broń, przedsiębiorców działających w obszarze wytwarzania i handlu bronią, a także organów prowadzących postępowania związane z prawem do posiadania broni. </w:t>
            </w:r>
          </w:p>
          <w:p w14:paraId="25528CA5" w14:textId="77777777" w:rsidR="00721ECD" w:rsidRPr="00064D2A" w:rsidRDefault="00721ECD" w:rsidP="003E1A5B">
            <w:pPr>
              <w:jc w:val="both"/>
              <w:rPr>
                <w:rFonts w:ascii="Arial" w:hAnsi="Arial" w:cs="Arial"/>
                <w:lang w:val="pl-PL" w:bidi="pl-PL"/>
              </w:rPr>
            </w:pPr>
            <w:r w:rsidRPr="00064D2A">
              <w:rPr>
                <w:rFonts w:ascii="Arial" w:hAnsi="Arial" w:cs="Arial"/>
                <w:lang w:val="pl-PL" w:bidi="pl-PL"/>
              </w:rPr>
              <w:t xml:space="preserve">W związku z powyższym ustawa koncesyjna zawiera definicję broni palnej z precyzyjnym określeniem substancji wykorzystywanej do miotania pocisku, która jest spójna z naukową terminologią i klasyfikacją odnoszącą się do rodzajów materiałów wybuchowych i odnosi się do zasady działania i funkcjonalności broni palnej. </w:t>
            </w:r>
          </w:p>
          <w:p w14:paraId="6AEA4B4A" w14:textId="77777777" w:rsidR="00721ECD" w:rsidRPr="00064D2A" w:rsidRDefault="00721ECD" w:rsidP="003E1A5B">
            <w:pPr>
              <w:jc w:val="both"/>
              <w:rPr>
                <w:rFonts w:ascii="Arial" w:hAnsi="Arial" w:cs="Arial"/>
                <w:lang w:val="pl-PL" w:bidi="pl-PL"/>
              </w:rPr>
            </w:pPr>
            <w:r w:rsidRPr="00064D2A">
              <w:rPr>
                <w:rFonts w:ascii="Arial" w:hAnsi="Arial" w:cs="Arial"/>
                <w:lang w:val="pl-PL" w:bidi="pl-PL"/>
              </w:rPr>
              <w:t xml:space="preserve">Pojęcie „broń palna” użyte w ustawie koncesyjnej obejmuje, zatem strzelecką broń palną, której dotyczy dyrektywa, a </w:t>
            </w:r>
            <w:r w:rsidRPr="00064D2A">
              <w:rPr>
                <w:rFonts w:ascii="Arial" w:hAnsi="Arial" w:cs="Arial"/>
                <w:lang w:val="pl-PL" w:bidi="pl-PL"/>
              </w:rPr>
              <w:lastRenderedPageBreak/>
              <w:t>także mającą zastosowanie w wojsku artyleryjską oraz rakietową broń palną, której dyrektywa nie dotyczy.</w:t>
            </w:r>
          </w:p>
          <w:p w14:paraId="39573C4F" w14:textId="77777777" w:rsidR="00721ECD" w:rsidRPr="00064D2A" w:rsidRDefault="00721ECD" w:rsidP="003E1A5B">
            <w:pPr>
              <w:jc w:val="both"/>
              <w:rPr>
                <w:rFonts w:ascii="Arial" w:hAnsi="Arial" w:cs="Arial"/>
                <w:lang w:val="pl-PL" w:bidi="pl-PL"/>
              </w:rPr>
            </w:pPr>
            <w:r w:rsidRPr="00064D2A">
              <w:rPr>
                <w:rFonts w:ascii="Arial" w:hAnsi="Arial" w:cs="Arial"/>
                <w:lang w:val="pl-PL" w:bidi="pl-PL"/>
              </w:rPr>
              <w:t xml:space="preserve">Reasumując, uwagę Ministra do spraw Unii Europejskiej należy uznać za bezzasadną, ponieważ pojęcie „strzelecka broń palna” oznacza „broń palną” w rozumieniu dyrektywy. Na potrzeby ustawy, zgodnie ze znaczeniem definicji zawartej w dyrektywie, dopełnionej klasyfikacją w Części II Załącznika I dyrektywy, zostało ono doprecyzowane przez dodanie stwierdzenia „o kalibrze mniejszym niż 20 mm”, co oznacza, że broń spełniająca ustawową definicję „broni palnej”, wyposażona w lufę o kalibrze równym 20 mm bądź większym, jest zaliczana do artyleryjskiej broni palnej. W zakres pojęcia „strzelecka broń palna” wchodzą również granatniki i broń sygnałowa. </w:t>
            </w:r>
          </w:p>
          <w:p w14:paraId="3AE1640C" w14:textId="77777777" w:rsidR="00721ECD" w:rsidRPr="00064D2A" w:rsidRDefault="00721ECD" w:rsidP="003E1A5B">
            <w:pPr>
              <w:jc w:val="both"/>
              <w:rPr>
                <w:rFonts w:ascii="Arial" w:hAnsi="Arial" w:cs="Arial"/>
                <w:lang w:val="pl-PL" w:bidi="pl-PL"/>
              </w:rPr>
            </w:pPr>
            <w:r w:rsidRPr="00064D2A">
              <w:rPr>
                <w:rFonts w:ascii="Arial" w:hAnsi="Arial" w:cs="Arial"/>
                <w:lang w:val="pl-PL" w:bidi="pl-PL"/>
              </w:rPr>
              <w:t>Na marginesie należy wskazać, że przywołane stanowisko znalazło również swoje odzwierciedlenie w ustawie z dnia 24 czerwca 2021 r. o zmianie ustawy o wykonywaniu działalności gospodarczej w zakresie wytwarzania i obrotu materiałami wybuchowymi, bronią, amunicją oraz wyrobami i technologią o przeznaczeniu wojskowym lub policyjnym (Dz. U. z 2021 r. poz. 1329), implementującej dyrektywę wykonawczą Komisji (UE) 2019/68 z dnia 16 stycznia 2019 r. ustanawiającej specyfikacje techniczne dotyczące oznakowania broni palnej i jej istotnych komponentów zgodnie z dyrektywą Rady 91/477/EWG w sprawie kontroli nabywania i posiadania broni.</w:t>
            </w:r>
          </w:p>
          <w:p w14:paraId="5A7F9DD1" w14:textId="43FA3303" w:rsidR="005F1B2A" w:rsidRPr="00064D2A" w:rsidRDefault="005F1B2A" w:rsidP="003E1A5B">
            <w:pPr>
              <w:jc w:val="both"/>
              <w:rPr>
                <w:rFonts w:ascii="Arial" w:hAnsi="Arial" w:cs="Arial"/>
                <w:b/>
                <w:bCs/>
                <w:lang w:val="pl-PL"/>
              </w:rPr>
            </w:pPr>
          </w:p>
        </w:tc>
      </w:tr>
      <w:tr w:rsidR="00723560" w:rsidRPr="00064D2A" w14:paraId="2BED0C31" w14:textId="77777777" w:rsidTr="00064D2A">
        <w:tc>
          <w:tcPr>
            <w:tcW w:w="562" w:type="dxa"/>
          </w:tcPr>
          <w:p w14:paraId="66C0F4CA" w14:textId="77777777" w:rsidR="00723560" w:rsidRPr="00064D2A" w:rsidRDefault="00723560" w:rsidP="003E300A">
            <w:pPr>
              <w:autoSpaceDE w:val="0"/>
              <w:autoSpaceDN w:val="0"/>
              <w:adjustRightInd w:val="0"/>
              <w:spacing w:line="300" w:lineRule="auto"/>
              <w:jc w:val="both"/>
              <w:rPr>
                <w:rFonts w:ascii="Arial" w:hAnsi="Arial" w:cs="Arial"/>
                <w:b/>
                <w:bCs/>
              </w:rPr>
            </w:pPr>
          </w:p>
        </w:tc>
        <w:tc>
          <w:tcPr>
            <w:tcW w:w="1333" w:type="dxa"/>
          </w:tcPr>
          <w:p w14:paraId="137BD3B6" w14:textId="201E5B36" w:rsidR="00723560" w:rsidRPr="00064D2A" w:rsidRDefault="00723560" w:rsidP="003E300A">
            <w:pPr>
              <w:autoSpaceDE w:val="0"/>
              <w:autoSpaceDN w:val="0"/>
              <w:adjustRightInd w:val="0"/>
              <w:spacing w:line="300" w:lineRule="auto"/>
              <w:jc w:val="both"/>
              <w:rPr>
                <w:rFonts w:ascii="Arial" w:hAnsi="Arial" w:cs="Arial"/>
                <w:b/>
                <w:bCs/>
              </w:rPr>
            </w:pPr>
            <w:r w:rsidRPr="00723560">
              <w:rPr>
                <w:rFonts w:ascii="Arial" w:hAnsi="Arial" w:cs="Arial"/>
                <w:b/>
                <w:bCs/>
                <w:lang w:val="pl-PL"/>
              </w:rPr>
              <w:t>Minister ds. UE-KPRM</w:t>
            </w:r>
          </w:p>
        </w:tc>
        <w:tc>
          <w:tcPr>
            <w:tcW w:w="1395" w:type="dxa"/>
          </w:tcPr>
          <w:p w14:paraId="107596EE" w14:textId="74976C7A" w:rsidR="00723560" w:rsidRPr="00064D2A" w:rsidRDefault="00C0341B" w:rsidP="003E300A">
            <w:pPr>
              <w:autoSpaceDE w:val="0"/>
              <w:autoSpaceDN w:val="0"/>
              <w:adjustRightInd w:val="0"/>
              <w:spacing w:line="300" w:lineRule="auto"/>
              <w:jc w:val="both"/>
              <w:rPr>
                <w:rFonts w:ascii="Arial" w:hAnsi="Arial" w:cs="Arial"/>
                <w:b/>
                <w:bCs/>
              </w:rPr>
            </w:pPr>
            <w:r>
              <w:rPr>
                <w:rFonts w:ascii="Arial" w:hAnsi="Arial" w:cs="Arial"/>
                <w:b/>
                <w:bCs/>
              </w:rPr>
              <w:t xml:space="preserve">Art. 2 </w:t>
            </w:r>
          </w:p>
        </w:tc>
        <w:tc>
          <w:tcPr>
            <w:tcW w:w="3793" w:type="dxa"/>
          </w:tcPr>
          <w:p w14:paraId="0A2BE994" w14:textId="21919F85" w:rsidR="00723560" w:rsidRPr="003E300A" w:rsidRDefault="00C0341B" w:rsidP="003E300A">
            <w:pPr>
              <w:autoSpaceDE w:val="0"/>
              <w:autoSpaceDN w:val="0"/>
              <w:adjustRightInd w:val="0"/>
              <w:jc w:val="both"/>
              <w:rPr>
                <w:rFonts w:ascii="Arial" w:hAnsi="Arial" w:cs="Arial"/>
              </w:rPr>
            </w:pPr>
            <w:r>
              <w:rPr>
                <w:rFonts w:ascii="Arial" w:hAnsi="Arial" w:cs="Arial"/>
              </w:rPr>
              <w:t xml:space="preserve">Odniesienie się do kwestii czy art. 44 ust.2aa ustawy o wykonywaniu działalnosci gospodarczej- wdrażający art. 1 pkt 32 dyrektywy 2024/325 odnosi </w:t>
            </w:r>
            <w:r>
              <w:rPr>
                <w:rFonts w:ascii="Arial" w:hAnsi="Arial" w:cs="Arial"/>
              </w:rPr>
              <w:lastRenderedPageBreak/>
              <w:t xml:space="preserve">sie także do </w:t>
            </w:r>
            <w:r w:rsidR="004F39AE">
              <w:rPr>
                <w:rFonts w:ascii="Arial" w:hAnsi="Arial" w:cs="Arial"/>
              </w:rPr>
              <w:t xml:space="preserve">oznakowania istotnych komponentów </w:t>
            </w:r>
            <w:r w:rsidR="000136B4">
              <w:rPr>
                <w:rFonts w:ascii="Arial" w:hAnsi="Arial" w:cs="Arial"/>
              </w:rPr>
              <w:t xml:space="preserve">broni palnej </w:t>
            </w:r>
          </w:p>
        </w:tc>
        <w:tc>
          <w:tcPr>
            <w:tcW w:w="2693" w:type="dxa"/>
          </w:tcPr>
          <w:p w14:paraId="51AC8052" w14:textId="2D507137" w:rsidR="00723560" w:rsidRPr="005A49E1" w:rsidRDefault="0073469E" w:rsidP="005A49E1">
            <w:pPr>
              <w:autoSpaceDE w:val="0"/>
              <w:autoSpaceDN w:val="0"/>
              <w:adjustRightInd w:val="0"/>
              <w:jc w:val="both"/>
              <w:rPr>
                <w:rFonts w:ascii="Arial" w:hAnsi="Arial" w:cs="Arial"/>
              </w:rPr>
            </w:pPr>
            <w:r>
              <w:rPr>
                <w:rFonts w:ascii="Arial" w:hAnsi="Arial" w:cs="Arial"/>
              </w:rPr>
              <w:lastRenderedPageBreak/>
              <w:t>Wyjaśnienie i odniesienie się do uwagi</w:t>
            </w:r>
            <w:r w:rsidR="00B97019">
              <w:rPr>
                <w:rFonts w:ascii="Arial" w:hAnsi="Arial" w:cs="Arial"/>
              </w:rPr>
              <w:t xml:space="preserve"> </w:t>
            </w:r>
          </w:p>
        </w:tc>
        <w:tc>
          <w:tcPr>
            <w:tcW w:w="4111" w:type="dxa"/>
          </w:tcPr>
          <w:p w14:paraId="1FF7971E" w14:textId="77777777" w:rsidR="0073469E" w:rsidRPr="0073469E" w:rsidRDefault="0073469E" w:rsidP="0073469E">
            <w:pPr>
              <w:autoSpaceDE w:val="0"/>
              <w:autoSpaceDN w:val="0"/>
              <w:adjustRightInd w:val="0"/>
              <w:jc w:val="both"/>
              <w:rPr>
                <w:rFonts w:ascii="Arial" w:hAnsi="Arial" w:cs="Arial"/>
                <w:lang w:val="pl-PL"/>
              </w:rPr>
            </w:pPr>
            <w:r w:rsidRPr="0073469E">
              <w:rPr>
                <w:rFonts w:ascii="Arial" w:hAnsi="Arial" w:cs="Arial"/>
                <w:lang w:val="pl-PL"/>
              </w:rPr>
              <w:t xml:space="preserve">Konstrukcja art. 44 ustawy z dnia 13 czerwca 2019 r. o wykonywaniu działalności gospodarczej w zakresie wytwarzania i obrotu materiałami wybuchowymi, bronią, </w:t>
            </w:r>
            <w:r w:rsidRPr="0073469E">
              <w:rPr>
                <w:rFonts w:ascii="Arial" w:hAnsi="Arial" w:cs="Arial"/>
                <w:lang w:val="pl-PL"/>
              </w:rPr>
              <w:lastRenderedPageBreak/>
              <w:t xml:space="preserve">amunicją oraz wyrobami i technologią o przeznaczeniu wojskowym lub policyjnym (Dz. U. z 2023 r. poz. 1743 zwanej dalej ,,ustawa”) zapewnia, że projektowany przepis art. 44 ust. 2aa ustawy, wdrażający art. 1 pkt 2 dyrektywy wykonawczej 2024/325 odnosi się także do oznakowania komponentów broni palnej (istotnych części strzeleckiej broni palnej w rozumieniu ustawy), ponieważ art. 44 ust. 3 i 4 ustawy, który dotyczy sposobu oznakowania istotnych części strzeleckiej broni palnej, zawiera odesłanie do całego ustępu drugiego (w tym również projektowanego ust. 2aa), a nie do poszczególnych jednostek redakcyjnych. </w:t>
            </w:r>
          </w:p>
          <w:p w14:paraId="786D2679" w14:textId="77777777" w:rsidR="0073469E" w:rsidRDefault="0073469E" w:rsidP="0073469E">
            <w:pPr>
              <w:autoSpaceDE w:val="0"/>
              <w:autoSpaceDN w:val="0"/>
              <w:adjustRightInd w:val="0"/>
              <w:jc w:val="both"/>
              <w:rPr>
                <w:rFonts w:ascii="Arial" w:hAnsi="Arial" w:cs="Arial"/>
                <w:lang w:val="pl-PL"/>
              </w:rPr>
            </w:pPr>
            <w:r w:rsidRPr="0073469E">
              <w:rPr>
                <w:rFonts w:ascii="Arial" w:hAnsi="Arial" w:cs="Arial"/>
                <w:lang w:val="pl-PL"/>
              </w:rPr>
              <w:t xml:space="preserve">Wskazana konstrukcja wynika z faktu, iż ust. 2 art. 44 reguluje kompleksowo zasady oznakowania, w tym również planowaną głębokość.  Co więcej w przepisach ustawy obowiązują już ust. 2a, 2b, 2c, 2d, które wbrew wszelkim wątpliwościom mają zastosowanie do istotnych części strzeleckiej broni palnej, a nie są wymienione w art. 44 ust. 4. Tym samym, niezasadnym jest wprowadzanie odesłania wyłącznie, co do jednego z elementów oznakowania.  </w:t>
            </w:r>
          </w:p>
          <w:p w14:paraId="7118ED1F" w14:textId="789CCEAB" w:rsidR="00575043" w:rsidRDefault="00575043" w:rsidP="0073469E">
            <w:pPr>
              <w:autoSpaceDE w:val="0"/>
              <w:autoSpaceDN w:val="0"/>
              <w:adjustRightInd w:val="0"/>
              <w:jc w:val="both"/>
              <w:rPr>
                <w:rFonts w:ascii="Arial" w:hAnsi="Arial" w:cs="Arial"/>
                <w:lang w:val="pl-PL"/>
              </w:rPr>
            </w:pPr>
            <w:r>
              <w:rPr>
                <w:rFonts w:ascii="Arial" w:hAnsi="Arial" w:cs="Arial"/>
                <w:lang w:val="pl-PL"/>
              </w:rPr>
              <w:t xml:space="preserve">Zmieniono brzmienie – w wyniku spotkania z KPRM. Uwzględniono uwagę. </w:t>
            </w:r>
          </w:p>
          <w:p w14:paraId="7EE7E10D" w14:textId="77777777" w:rsidR="00575043" w:rsidRPr="0073469E" w:rsidRDefault="00575043" w:rsidP="0073469E">
            <w:pPr>
              <w:autoSpaceDE w:val="0"/>
              <w:autoSpaceDN w:val="0"/>
              <w:adjustRightInd w:val="0"/>
              <w:jc w:val="both"/>
              <w:rPr>
                <w:rFonts w:ascii="Arial" w:hAnsi="Arial" w:cs="Arial"/>
                <w:lang w:val="pl-PL"/>
              </w:rPr>
            </w:pPr>
          </w:p>
          <w:p w14:paraId="61C3B469" w14:textId="77777777" w:rsidR="00723560" w:rsidRPr="00064D2A" w:rsidRDefault="00723560" w:rsidP="003E1A5B">
            <w:pPr>
              <w:autoSpaceDE w:val="0"/>
              <w:autoSpaceDN w:val="0"/>
              <w:adjustRightInd w:val="0"/>
              <w:jc w:val="both"/>
              <w:rPr>
                <w:rFonts w:ascii="Arial" w:hAnsi="Arial" w:cs="Arial"/>
                <w:b/>
                <w:bCs/>
              </w:rPr>
            </w:pPr>
          </w:p>
        </w:tc>
      </w:tr>
      <w:tr w:rsidR="00721ECD" w:rsidRPr="00064D2A" w14:paraId="3FA1EFA6" w14:textId="77777777" w:rsidTr="00064D2A">
        <w:tc>
          <w:tcPr>
            <w:tcW w:w="562" w:type="dxa"/>
          </w:tcPr>
          <w:p w14:paraId="7D06D40D" w14:textId="36757AB4" w:rsidR="00721ECD" w:rsidRPr="00064D2A" w:rsidRDefault="00721ECD" w:rsidP="003E300A">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lastRenderedPageBreak/>
              <w:t>17.</w:t>
            </w:r>
          </w:p>
        </w:tc>
        <w:tc>
          <w:tcPr>
            <w:tcW w:w="1333" w:type="dxa"/>
          </w:tcPr>
          <w:p w14:paraId="0A01F2BC" w14:textId="13AB1D9B" w:rsidR="00721ECD" w:rsidRPr="00064D2A" w:rsidRDefault="005F1B2A" w:rsidP="003E300A">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MSWiA</w:t>
            </w:r>
          </w:p>
        </w:tc>
        <w:tc>
          <w:tcPr>
            <w:tcW w:w="1395" w:type="dxa"/>
          </w:tcPr>
          <w:p w14:paraId="07C9BB17" w14:textId="71F15105" w:rsidR="00721ECD" w:rsidRPr="00064D2A" w:rsidRDefault="005F1B2A" w:rsidP="003E300A">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 xml:space="preserve">Art. 1 pkt 16 (po zmianie pkt projektu będzie to pkt 18)  - w odniesieniu do art. 27f </w:t>
            </w:r>
            <w:r w:rsidRPr="00064D2A">
              <w:rPr>
                <w:rFonts w:ascii="Arial" w:hAnsi="Arial" w:cs="Arial"/>
                <w:b/>
                <w:bCs/>
                <w:lang w:val="pl-PL"/>
              </w:rPr>
              <w:lastRenderedPageBreak/>
              <w:t>ust. 3 ustawy o obrocie z zagranicą</w:t>
            </w:r>
          </w:p>
        </w:tc>
        <w:tc>
          <w:tcPr>
            <w:tcW w:w="3793" w:type="dxa"/>
          </w:tcPr>
          <w:p w14:paraId="611B1BF3" w14:textId="25D4B983" w:rsidR="00721ECD" w:rsidRPr="00064D2A" w:rsidRDefault="005F1B2A" w:rsidP="005F1B2A">
            <w:pPr>
              <w:contextualSpacing/>
              <w:jc w:val="both"/>
              <w:rPr>
                <w:rFonts w:ascii="Arial" w:hAnsi="Arial" w:cs="Arial"/>
                <w:b/>
                <w:bCs/>
                <w:lang w:val="pl-PL"/>
              </w:rPr>
            </w:pPr>
            <w:r w:rsidRPr="00064D2A">
              <w:rPr>
                <w:rFonts w:ascii="Arial" w:hAnsi="Arial" w:cs="Arial"/>
                <w:lang w:val="pl-PL"/>
              </w:rPr>
              <w:lastRenderedPageBreak/>
              <w:t xml:space="preserve">Projekt ustawy w art. 1 pkt 16 w zakresie dodawanych w art. 27f ust. 3 pkt 1 lit. b, pkt 3 lit. b i pkt 4 lit. b w ustawie </w:t>
            </w:r>
            <w:r w:rsidRPr="00064D2A">
              <w:rPr>
                <w:rFonts w:ascii="Arial" w:hAnsi="Arial" w:cs="Arial"/>
                <w:i/>
                <w:lang w:val="pl-PL"/>
              </w:rPr>
              <w:t>o obrocie z zagranicą towarami, technologiami i usługami o znaczeniu strategicznym dla bezpieczeństwa państwa, a także dla utrzymania międzynarodowego pokoju i bezpieczeństwa</w:t>
            </w:r>
            <w:r w:rsidRPr="00064D2A">
              <w:rPr>
                <w:rFonts w:ascii="Arial" w:hAnsi="Arial" w:cs="Arial"/>
                <w:lang w:val="pl-PL"/>
              </w:rPr>
              <w:t xml:space="preserve"> przewiduje, że we wniosku o uzyskanie dostępu do danych </w:t>
            </w:r>
            <w:r w:rsidRPr="00064D2A">
              <w:rPr>
                <w:rFonts w:ascii="Arial" w:hAnsi="Arial" w:cs="Arial"/>
                <w:lang w:val="pl-PL"/>
              </w:rPr>
              <w:lastRenderedPageBreak/>
              <w:t xml:space="preserve">z rejestru, o którym mowa w art. 27d projektowanej ustawy osoba fizyczna podaje numer PESEL. Powyższy przepis wskazuje na obligatoryjność posiadania numeru PESEL przez osobę wnioskującą o dostęp do rejestru. Oznacza to, że osoba która nie posiada nadanego numeru PESEL w celu uzyskania dostępu do ww. rejestru będzie musiała uzyskać numer PESEL na podstawie przepisów art. 7 ust. 2 ustawy </w:t>
            </w:r>
            <w:r w:rsidRPr="00064D2A">
              <w:rPr>
                <w:rFonts w:ascii="Arial" w:hAnsi="Arial" w:cs="Arial"/>
                <w:i/>
                <w:lang w:val="pl-PL"/>
              </w:rPr>
              <w:t>o ewidencji ludności</w:t>
            </w:r>
            <w:r w:rsidRPr="00064D2A">
              <w:rPr>
                <w:rFonts w:ascii="Arial" w:hAnsi="Arial" w:cs="Arial"/>
                <w:lang w:val="pl-PL"/>
              </w:rPr>
              <w:t xml:space="preserve">. </w:t>
            </w:r>
          </w:p>
        </w:tc>
        <w:tc>
          <w:tcPr>
            <w:tcW w:w="2693" w:type="dxa"/>
          </w:tcPr>
          <w:p w14:paraId="2B137DFA" w14:textId="77777777" w:rsidR="005F1B2A" w:rsidRPr="00064D2A" w:rsidRDefault="005F1B2A" w:rsidP="005F1B2A">
            <w:pPr>
              <w:contextualSpacing/>
              <w:jc w:val="both"/>
              <w:rPr>
                <w:rFonts w:ascii="Arial" w:hAnsi="Arial" w:cs="Arial"/>
                <w:i/>
                <w:lang w:val="pl-PL"/>
              </w:rPr>
            </w:pPr>
            <w:r w:rsidRPr="00064D2A">
              <w:rPr>
                <w:rFonts w:ascii="Arial" w:hAnsi="Arial" w:cs="Arial"/>
                <w:lang w:val="pl-PL"/>
              </w:rPr>
              <w:lastRenderedPageBreak/>
              <w:t xml:space="preserve">Zatem powstaje wątpliwość w kwestii zasadności nadawania numeru PESEL tylko do jednorazowej czynności w zakresie złożenia wniosku o dostęp do rejestru. W związku z powyższym pod rozwagę projektodawcy poddaję </w:t>
            </w:r>
            <w:r w:rsidRPr="00064D2A">
              <w:rPr>
                <w:rFonts w:ascii="Arial" w:hAnsi="Arial" w:cs="Arial"/>
                <w:lang w:val="pl-PL"/>
              </w:rPr>
              <w:lastRenderedPageBreak/>
              <w:t xml:space="preserve">możliwość wprowadzenia przepisu o braku obligatoryjności posiadania numeru PESEL i zastąpienie w art. 27f ust. 3 pkt 1 lit. b, pkt 3 lit. b i pkt 4 lit. b wyrazów </w:t>
            </w:r>
            <w:r w:rsidRPr="00064D2A">
              <w:rPr>
                <w:rFonts w:ascii="Arial" w:hAnsi="Arial" w:cs="Arial"/>
                <w:i/>
                <w:lang w:val="pl-PL"/>
              </w:rPr>
              <w:t>„numer PESEL” przepisem w brzmieniu np.: „numer PESEL, a w przypadku jego braku – rodzaj, serię i numer dokumentu tożsamości oraz nazwę państwa, które go wydało”.</w:t>
            </w:r>
          </w:p>
          <w:p w14:paraId="680C14C3" w14:textId="77777777" w:rsidR="00721ECD" w:rsidRPr="00064D2A" w:rsidRDefault="00721ECD" w:rsidP="003E300A">
            <w:pPr>
              <w:autoSpaceDE w:val="0"/>
              <w:autoSpaceDN w:val="0"/>
              <w:adjustRightInd w:val="0"/>
              <w:spacing w:line="300" w:lineRule="auto"/>
              <w:jc w:val="both"/>
              <w:rPr>
                <w:rFonts w:ascii="Arial" w:hAnsi="Arial" w:cs="Arial"/>
                <w:b/>
                <w:bCs/>
                <w:lang w:val="pl-PL"/>
              </w:rPr>
            </w:pPr>
          </w:p>
        </w:tc>
        <w:tc>
          <w:tcPr>
            <w:tcW w:w="4111" w:type="dxa"/>
          </w:tcPr>
          <w:p w14:paraId="13C508C2" w14:textId="5F060E4D" w:rsidR="00721ECD" w:rsidRPr="00064D2A" w:rsidRDefault="005F1B2A" w:rsidP="003E300A">
            <w:pPr>
              <w:autoSpaceDE w:val="0"/>
              <w:autoSpaceDN w:val="0"/>
              <w:adjustRightInd w:val="0"/>
              <w:jc w:val="both"/>
              <w:rPr>
                <w:rFonts w:ascii="Arial" w:hAnsi="Arial" w:cs="Arial"/>
                <w:b/>
                <w:bCs/>
                <w:lang w:val="pl-PL"/>
              </w:rPr>
            </w:pPr>
            <w:r w:rsidRPr="00064D2A">
              <w:rPr>
                <w:rFonts w:ascii="Arial" w:hAnsi="Arial" w:cs="Arial"/>
                <w:b/>
                <w:bCs/>
                <w:lang w:val="pl-PL"/>
              </w:rPr>
              <w:lastRenderedPageBreak/>
              <w:t>Uwaga uwzględniona-</w:t>
            </w:r>
          </w:p>
          <w:p w14:paraId="0874D974" w14:textId="77777777" w:rsidR="005F1B2A" w:rsidRPr="00064D2A" w:rsidRDefault="005F1B2A" w:rsidP="003E300A">
            <w:pPr>
              <w:autoSpaceDE w:val="0"/>
              <w:autoSpaceDN w:val="0"/>
              <w:adjustRightInd w:val="0"/>
              <w:jc w:val="both"/>
              <w:rPr>
                <w:rFonts w:ascii="Arial" w:hAnsi="Arial" w:cs="Arial"/>
                <w:b/>
                <w:bCs/>
                <w:lang w:val="pl-PL"/>
              </w:rPr>
            </w:pPr>
          </w:p>
          <w:p w14:paraId="44DBCF06" w14:textId="178BF557" w:rsidR="005F1B2A" w:rsidRPr="00064D2A" w:rsidRDefault="005F1B2A" w:rsidP="003E300A">
            <w:pPr>
              <w:autoSpaceDE w:val="0"/>
              <w:autoSpaceDN w:val="0"/>
              <w:adjustRightInd w:val="0"/>
              <w:jc w:val="both"/>
              <w:rPr>
                <w:rFonts w:ascii="Arial" w:hAnsi="Arial" w:cs="Arial"/>
                <w:lang w:val="pl-PL"/>
              </w:rPr>
            </w:pPr>
            <w:r w:rsidRPr="00064D2A">
              <w:rPr>
                <w:rFonts w:ascii="Arial" w:hAnsi="Arial" w:cs="Arial"/>
                <w:lang w:val="pl-PL"/>
              </w:rPr>
              <w:t>dodano brzmienie zaproponowane przez MSWiA</w:t>
            </w:r>
          </w:p>
        </w:tc>
      </w:tr>
      <w:tr w:rsidR="00721ECD" w:rsidRPr="00064D2A" w14:paraId="55A2B76D" w14:textId="77777777" w:rsidTr="00064D2A">
        <w:tc>
          <w:tcPr>
            <w:tcW w:w="562" w:type="dxa"/>
          </w:tcPr>
          <w:p w14:paraId="42737E4F" w14:textId="06FDBD67" w:rsidR="00721ECD" w:rsidRPr="00064D2A" w:rsidRDefault="00721ECD" w:rsidP="003E300A">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18.</w:t>
            </w:r>
          </w:p>
        </w:tc>
        <w:tc>
          <w:tcPr>
            <w:tcW w:w="1333" w:type="dxa"/>
          </w:tcPr>
          <w:p w14:paraId="63C16FB8" w14:textId="3F6AC35F" w:rsidR="00721ECD" w:rsidRPr="00064D2A" w:rsidRDefault="005F1B2A" w:rsidP="003E300A">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MSZ</w:t>
            </w:r>
          </w:p>
        </w:tc>
        <w:tc>
          <w:tcPr>
            <w:tcW w:w="1395" w:type="dxa"/>
          </w:tcPr>
          <w:p w14:paraId="0EE7C994" w14:textId="7B3BEE8D" w:rsidR="00721ECD" w:rsidRPr="00064D2A" w:rsidRDefault="005F1B2A" w:rsidP="003E300A">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Dodatkowa propozycja zmiany w</w:t>
            </w:r>
            <w:r w:rsidR="00292720" w:rsidRPr="00064D2A">
              <w:rPr>
                <w:rFonts w:ascii="Arial" w:hAnsi="Arial" w:cs="Arial"/>
                <w:b/>
                <w:bCs/>
                <w:lang w:val="pl-PL"/>
              </w:rPr>
              <w:t> </w:t>
            </w:r>
            <w:r w:rsidRPr="00064D2A">
              <w:rPr>
                <w:rFonts w:ascii="Arial" w:hAnsi="Arial" w:cs="Arial"/>
                <w:b/>
                <w:bCs/>
                <w:lang w:val="pl-PL"/>
              </w:rPr>
              <w:t xml:space="preserve">ustawie o obrocie </w:t>
            </w:r>
            <w:r w:rsidR="009942F3" w:rsidRPr="00064D2A">
              <w:rPr>
                <w:rFonts w:ascii="Arial" w:hAnsi="Arial" w:cs="Arial"/>
                <w:b/>
                <w:bCs/>
                <w:lang w:val="pl-PL"/>
              </w:rPr>
              <w:t>(w</w:t>
            </w:r>
            <w:r w:rsidR="00292720" w:rsidRPr="00064D2A">
              <w:rPr>
                <w:rFonts w:ascii="Arial" w:hAnsi="Arial" w:cs="Arial"/>
                <w:b/>
                <w:bCs/>
                <w:lang w:val="pl-PL"/>
              </w:rPr>
              <w:t> </w:t>
            </w:r>
            <w:r w:rsidR="009942F3" w:rsidRPr="00064D2A">
              <w:rPr>
                <w:rFonts w:ascii="Arial" w:hAnsi="Arial" w:cs="Arial"/>
                <w:b/>
                <w:bCs/>
                <w:lang w:val="pl-PL"/>
              </w:rPr>
              <w:t>zakresie art. 27a ust. 1)</w:t>
            </w:r>
          </w:p>
        </w:tc>
        <w:tc>
          <w:tcPr>
            <w:tcW w:w="3793" w:type="dxa"/>
          </w:tcPr>
          <w:p w14:paraId="287CDD72" w14:textId="15932673" w:rsidR="005F1B2A" w:rsidRPr="00064D2A" w:rsidRDefault="005F1B2A" w:rsidP="005F1B2A">
            <w:pPr>
              <w:jc w:val="both"/>
              <w:rPr>
                <w:rFonts w:ascii="Arial" w:hAnsi="Arial" w:cs="Arial"/>
                <w:lang w:val="pl-PL"/>
              </w:rPr>
            </w:pPr>
            <w:r w:rsidRPr="00064D2A">
              <w:rPr>
                <w:rFonts w:ascii="Arial" w:hAnsi="Arial" w:cs="Arial"/>
                <w:lang w:val="pl-PL"/>
              </w:rPr>
              <w:t>Pozwalam sobie zasugerować zmianę art. 27a ust. 1 ustawy z dnia 29 listopada 2000 r. o obrocie z zagranicą towarami, technologiami i usługami o znaczeniu strategicznym dla bezpieczeństwa państwa, a także dla utrzymania międzynarodowego pokoju i bezpieczeństwa (Dz. U. z 2023 r. poz. 1582).</w:t>
            </w:r>
          </w:p>
          <w:p w14:paraId="59482CDD" w14:textId="77777777" w:rsidR="005F1B2A" w:rsidRPr="00064D2A" w:rsidRDefault="005F1B2A" w:rsidP="005F1B2A">
            <w:pPr>
              <w:jc w:val="both"/>
              <w:rPr>
                <w:rFonts w:ascii="Arial" w:hAnsi="Arial" w:cs="Arial"/>
                <w:lang w:val="pl-PL"/>
              </w:rPr>
            </w:pPr>
            <w:r w:rsidRPr="00064D2A">
              <w:rPr>
                <w:rFonts w:ascii="Arial" w:hAnsi="Arial" w:cs="Arial"/>
                <w:lang w:val="pl-PL"/>
              </w:rPr>
              <w:t xml:space="preserve">Wskazany przepis aktualnie stanowi, że: </w:t>
            </w:r>
            <w:r w:rsidRPr="00064D2A">
              <w:rPr>
                <w:rFonts w:ascii="Arial" w:hAnsi="Arial" w:cs="Arial"/>
                <w:i/>
                <w:lang w:val="pl-PL"/>
              </w:rPr>
              <w:t>Podmiot dokonujący wywozu uzbrojenia jest obowiązany przekazać ministrowi właściwemu do spraw zagranicznych roczny raport z  faktycznego wykonania tego wywozu, w terminie do końca kwietnia następnego roku</w:t>
            </w:r>
            <w:r w:rsidRPr="00064D2A">
              <w:rPr>
                <w:rFonts w:ascii="Arial" w:hAnsi="Arial" w:cs="Arial"/>
                <w:lang w:val="pl-PL"/>
              </w:rPr>
              <w:t>.</w:t>
            </w:r>
          </w:p>
          <w:p w14:paraId="40EDFAF1" w14:textId="77777777" w:rsidR="005F1B2A" w:rsidRPr="00064D2A" w:rsidRDefault="005F1B2A" w:rsidP="005F1B2A">
            <w:pPr>
              <w:jc w:val="both"/>
              <w:rPr>
                <w:rFonts w:ascii="Arial" w:hAnsi="Arial" w:cs="Arial"/>
                <w:lang w:val="pl-PL"/>
              </w:rPr>
            </w:pPr>
            <w:r w:rsidRPr="00064D2A">
              <w:rPr>
                <w:rFonts w:ascii="Arial" w:hAnsi="Arial" w:cs="Arial"/>
                <w:lang w:val="pl-PL"/>
              </w:rPr>
              <w:t xml:space="preserve">Aktualna treść art. 27a ust.1 w zw. z art. 3 pkt 5 ustawy nakłada zobowiązanie do raportowania faktycznych wywozów jedynie do państw spoza Unii Europejskiej, pomijając transfery wewnątrzunijne, które są definiowane przez art. 3 pkt 7a ustawy. W rezultacie, z punktu widzenia prawnego, podmioty zajmujące się obrotem z zagranicą </w:t>
            </w:r>
            <w:r w:rsidRPr="00064D2A">
              <w:rPr>
                <w:rFonts w:ascii="Arial" w:hAnsi="Arial" w:cs="Arial"/>
                <w:lang w:val="pl-PL"/>
              </w:rPr>
              <w:lastRenderedPageBreak/>
              <w:t>uzbrojeniem i sprzętem wojskowym nie mają obowiązku raportowania takich transferów, a składane jak dotąd dokumenty poświadczające taką działalność należy taktować jako gest dobrej woli. Należy podkreślić, że taki stan rzeczy utrudnia Ministrowi Spraw Zagranicznych rzetelne i pełne sporządzanie rocznych sprawozdań dotyczących wywozu uzbrojenia na rzecz instytucji międzynarodowych oraz przygotowanie krajowego sprawozdania rocznego, o którym mowa w art. 27c ust. 2 ustawy.</w:t>
            </w:r>
          </w:p>
          <w:p w14:paraId="6D2CDD2C" w14:textId="63D992AA" w:rsidR="00721ECD" w:rsidRPr="00064D2A" w:rsidRDefault="005F1B2A" w:rsidP="00622F8A">
            <w:pPr>
              <w:jc w:val="both"/>
              <w:rPr>
                <w:rFonts w:ascii="Arial" w:hAnsi="Arial" w:cs="Arial"/>
                <w:b/>
                <w:bCs/>
                <w:lang w:val="pl-PL"/>
              </w:rPr>
            </w:pPr>
            <w:r w:rsidRPr="00064D2A">
              <w:rPr>
                <w:rFonts w:ascii="Arial" w:hAnsi="Arial" w:cs="Arial"/>
                <w:lang w:val="pl-PL"/>
              </w:rPr>
              <w:t xml:space="preserve">Pełne raportowanie wywozów, jak również transferów wewnątrzunijnych uzbrojenia i sprzętu wojskowego z Polski stanowi wypełnienie naszych prawno-międzynarodowych zobowiązań wynikających z art. 8 ust. 1 </w:t>
            </w:r>
            <w:r w:rsidRPr="00064D2A">
              <w:rPr>
                <w:rFonts w:ascii="Arial" w:hAnsi="Arial" w:cs="Arial"/>
                <w:i/>
                <w:color w:val="212529"/>
                <w:lang w:val="pl-PL"/>
              </w:rPr>
              <w:t>Wspólnego Stanowiska Rady 2008/944/WPZiB</w:t>
            </w:r>
            <w:r w:rsidRPr="00064D2A">
              <w:rPr>
                <w:rFonts w:ascii="Arial" w:hAnsi="Arial" w:cs="Arial"/>
                <w:i/>
                <w:lang w:val="pl-PL"/>
              </w:rPr>
              <w:t xml:space="preserve"> </w:t>
            </w:r>
            <w:r w:rsidRPr="00064D2A">
              <w:rPr>
                <w:rFonts w:ascii="Arial" w:hAnsi="Arial" w:cs="Arial"/>
                <w:i/>
                <w:color w:val="212529"/>
                <w:lang w:val="pl-PL" w:eastAsia="pl-PL"/>
              </w:rPr>
              <w:t>z dnia 8 grudnia 2008 r.</w:t>
            </w:r>
            <w:r w:rsidRPr="00064D2A">
              <w:rPr>
                <w:rFonts w:ascii="Arial" w:hAnsi="Arial" w:cs="Arial"/>
                <w:i/>
                <w:lang w:val="pl-PL"/>
              </w:rPr>
              <w:t xml:space="preserve"> o</w:t>
            </w:r>
            <w:r w:rsidRPr="00064D2A">
              <w:rPr>
                <w:rFonts w:ascii="Arial" w:hAnsi="Arial" w:cs="Arial"/>
                <w:i/>
                <w:color w:val="212529"/>
                <w:lang w:val="pl-PL" w:eastAsia="pl-PL"/>
              </w:rPr>
              <w:t>kreślającego wspólne zasady kontroli wywozu technologii wojskowych i sprzętu wojskowego</w:t>
            </w:r>
            <w:r w:rsidRPr="00064D2A">
              <w:rPr>
                <w:rFonts w:ascii="Arial" w:hAnsi="Arial" w:cs="Arial"/>
                <w:color w:val="212529"/>
                <w:lang w:val="pl-PL" w:eastAsia="pl-PL"/>
              </w:rPr>
              <w:t xml:space="preserve"> oraz art.  13 ust. 3 </w:t>
            </w:r>
            <w:r w:rsidRPr="00064D2A">
              <w:rPr>
                <w:rFonts w:ascii="Arial" w:hAnsi="Arial" w:cs="Arial"/>
                <w:i/>
                <w:color w:val="212529"/>
                <w:lang w:val="pl-PL" w:eastAsia="pl-PL"/>
              </w:rPr>
              <w:t>Traktatu o handlu bronią</w:t>
            </w:r>
            <w:r w:rsidRPr="00064D2A">
              <w:rPr>
                <w:rFonts w:ascii="Arial" w:hAnsi="Arial" w:cs="Arial"/>
                <w:color w:val="212529"/>
                <w:lang w:val="pl-PL" w:eastAsia="pl-PL"/>
              </w:rPr>
              <w:t xml:space="preserve"> s</w:t>
            </w:r>
            <w:r w:rsidRPr="00064D2A">
              <w:rPr>
                <w:rFonts w:ascii="Arial" w:hAnsi="Arial" w:cs="Arial"/>
                <w:color w:val="212529"/>
                <w:shd w:val="clear" w:color="auto" w:fill="FFFFFF"/>
                <w:lang w:val="pl-PL"/>
              </w:rPr>
              <w:t xml:space="preserve">porządzonego w Nowym Jorku dnia 2 kwietnia 2013 r. Ponadto raportowanie </w:t>
            </w:r>
            <w:r w:rsidRPr="00064D2A">
              <w:rPr>
                <w:rFonts w:ascii="Arial" w:hAnsi="Arial" w:cs="Arial"/>
                <w:lang w:val="pl-PL"/>
              </w:rPr>
              <w:t xml:space="preserve">wywozów oraz wewnątrzunijnych transferów uzbrojenia i sprzętu wojskowego wypełnia polityczne zobowiązanie z </w:t>
            </w:r>
            <w:r w:rsidRPr="00064D2A">
              <w:rPr>
                <w:rFonts w:ascii="Arial" w:hAnsi="Arial" w:cs="Arial"/>
                <w:color w:val="000000" w:themeColor="text1"/>
                <w:lang w:val="pl-PL"/>
              </w:rPr>
              <w:t>rezolucji Zgromadzenia Ogólnego NZ nr 49/36</w:t>
            </w:r>
            <w:r w:rsidRPr="00064D2A">
              <w:rPr>
                <w:rFonts w:ascii="Arial" w:hAnsi="Arial" w:cs="Arial"/>
                <w:lang w:val="pl-PL"/>
              </w:rPr>
              <w:t xml:space="preserve"> powołującej do życia Rejestr broni konwencjonalnej ONZ (UNROCA).</w:t>
            </w:r>
          </w:p>
        </w:tc>
        <w:tc>
          <w:tcPr>
            <w:tcW w:w="2693" w:type="dxa"/>
          </w:tcPr>
          <w:p w14:paraId="3E1B2E8D" w14:textId="77777777" w:rsidR="00950947" w:rsidRPr="00064D2A" w:rsidRDefault="00950947" w:rsidP="00950947">
            <w:pPr>
              <w:spacing w:after="120"/>
              <w:jc w:val="both"/>
              <w:rPr>
                <w:rFonts w:ascii="Arial" w:hAnsi="Arial" w:cs="Arial"/>
                <w:lang w:val="pl-PL"/>
              </w:rPr>
            </w:pPr>
            <w:r w:rsidRPr="00064D2A">
              <w:rPr>
                <w:rFonts w:ascii="Arial" w:hAnsi="Arial" w:cs="Arial"/>
                <w:lang w:val="pl-PL"/>
              </w:rPr>
              <w:lastRenderedPageBreak/>
              <w:t xml:space="preserve">Mając na uwadze powyższe proponuję, aby  art. 27a ust. 1 ustawy z dnia 29 listopada 2000 r. </w:t>
            </w:r>
            <w:r w:rsidRPr="00064D2A">
              <w:rPr>
                <w:rFonts w:ascii="Arial" w:hAnsi="Arial" w:cs="Arial"/>
                <w:i/>
                <w:lang w:val="pl-PL"/>
              </w:rPr>
              <w:t>o obrocie z zagranicą towarami, technologiami i usługami o znaczeniu strategicznym dla bezpieczeństwa państwa, a także dla utrzymania międzynarodowego pokoju i bezpieczeństwa</w:t>
            </w:r>
            <w:r w:rsidRPr="00064D2A">
              <w:rPr>
                <w:rFonts w:ascii="Arial" w:hAnsi="Arial" w:cs="Arial"/>
                <w:lang w:val="pl-PL"/>
              </w:rPr>
              <w:t xml:space="preserve"> otrzymał następujące  brzmienie:</w:t>
            </w:r>
          </w:p>
          <w:p w14:paraId="33D5A41A" w14:textId="77777777" w:rsidR="00950947" w:rsidRPr="00064D2A" w:rsidRDefault="00950947" w:rsidP="00950947">
            <w:pPr>
              <w:spacing w:after="120"/>
              <w:jc w:val="both"/>
              <w:rPr>
                <w:rFonts w:ascii="Arial" w:hAnsi="Arial" w:cs="Arial"/>
                <w:lang w:val="pl-PL"/>
              </w:rPr>
            </w:pPr>
            <w:r w:rsidRPr="00064D2A">
              <w:rPr>
                <w:rFonts w:ascii="Arial" w:hAnsi="Arial" w:cs="Arial"/>
                <w:i/>
                <w:lang w:val="pl-PL"/>
              </w:rPr>
              <w:t xml:space="preserve">„Podmiot dokonujący wywozu uzbrojenia lub transferu wewnątrzunijnego jest obowiązany przekazać ministrowi właściwemu do spraw zagranicznych roczny raport z faktycznego wykonania tego wywozu lub transferu wewnątrzunijnego, w </w:t>
            </w:r>
            <w:r w:rsidRPr="00064D2A">
              <w:rPr>
                <w:rFonts w:ascii="Arial" w:hAnsi="Arial" w:cs="Arial"/>
                <w:i/>
                <w:lang w:val="pl-PL"/>
              </w:rPr>
              <w:lastRenderedPageBreak/>
              <w:t>terminie do końca kwietnia następnego roku</w:t>
            </w:r>
            <w:r w:rsidRPr="00064D2A">
              <w:rPr>
                <w:rFonts w:ascii="Arial" w:hAnsi="Arial" w:cs="Arial"/>
                <w:lang w:val="pl-PL"/>
              </w:rPr>
              <w:t>.”.</w:t>
            </w:r>
          </w:p>
          <w:p w14:paraId="6D2DD9D7" w14:textId="77777777" w:rsidR="00721ECD" w:rsidRPr="00064D2A" w:rsidRDefault="00721ECD" w:rsidP="003E300A">
            <w:pPr>
              <w:autoSpaceDE w:val="0"/>
              <w:autoSpaceDN w:val="0"/>
              <w:adjustRightInd w:val="0"/>
              <w:spacing w:line="300" w:lineRule="auto"/>
              <w:jc w:val="both"/>
              <w:rPr>
                <w:rFonts w:ascii="Arial" w:hAnsi="Arial" w:cs="Arial"/>
                <w:b/>
                <w:bCs/>
                <w:lang w:val="pl-PL"/>
              </w:rPr>
            </w:pPr>
          </w:p>
        </w:tc>
        <w:tc>
          <w:tcPr>
            <w:tcW w:w="4111" w:type="dxa"/>
          </w:tcPr>
          <w:p w14:paraId="3400AEFA" w14:textId="77777777" w:rsidR="00721ECD" w:rsidRPr="00064D2A" w:rsidRDefault="009942F3" w:rsidP="003E300A">
            <w:pPr>
              <w:autoSpaceDE w:val="0"/>
              <w:autoSpaceDN w:val="0"/>
              <w:adjustRightInd w:val="0"/>
              <w:jc w:val="both"/>
              <w:rPr>
                <w:rFonts w:ascii="Arial" w:hAnsi="Arial" w:cs="Arial"/>
                <w:b/>
                <w:bCs/>
                <w:lang w:val="pl-PL"/>
              </w:rPr>
            </w:pPr>
            <w:r w:rsidRPr="00064D2A">
              <w:rPr>
                <w:rFonts w:ascii="Arial" w:hAnsi="Arial" w:cs="Arial"/>
                <w:b/>
                <w:bCs/>
                <w:lang w:val="pl-PL"/>
              </w:rPr>
              <w:lastRenderedPageBreak/>
              <w:t>Propozycja uwzględniona-</w:t>
            </w:r>
          </w:p>
          <w:p w14:paraId="1ACA78E3" w14:textId="77777777" w:rsidR="009942F3" w:rsidRPr="00064D2A" w:rsidRDefault="009942F3" w:rsidP="003E300A">
            <w:pPr>
              <w:autoSpaceDE w:val="0"/>
              <w:autoSpaceDN w:val="0"/>
              <w:adjustRightInd w:val="0"/>
              <w:jc w:val="both"/>
              <w:rPr>
                <w:rFonts w:ascii="Arial" w:hAnsi="Arial" w:cs="Arial"/>
                <w:b/>
                <w:bCs/>
                <w:lang w:val="pl-PL"/>
              </w:rPr>
            </w:pPr>
          </w:p>
          <w:p w14:paraId="29F92239" w14:textId="3CB8CE37" w:rsidR="009942F3" w:rsidRPr="00064D2A" w:rsidRDefault="009942F3" w:rsidP="003E300A">
            <w:pPr>
              <w:autoSpaceDE w:val="0"/>
              <w:autoSpaceDN w:val="0"/>
              <w:adjustRightInd w:val="0"/>
              <w:jc w:val="both"/>
              <w:rPr>
                <w:rFonts w:ascii="Arial" w:hAnsi="Arial" w:cs="Arial"/>
                <w:lang w:val="pl-PL"/>
              </w:rPr>
            </w:pPr>
            <w:r w:rsidRPr="00064D2A">
              <w:rPr>
                <w:rFonts w:ascii="Arial" w:hAnsi="Arial" w:cs="Arial"/>
                <w:lang w:val="pl-PL"/>
              </w:rPr>
              <w:t>dodano zmianę zgodnie z propozycją MSZ – art. 1 pkt 16 projektu (ust. 1 w art. 27a otrzymał nowe brzmienie).</w:t>
            </w:r>
          </w:p>
        </w:tc>
      </w:tr>
      <w:tr w:rsidR="00721ECD" w:rsidRPr="00064D2A" w14:paraId="425D73AD" w14:textId="77777777" w:rsidTr="00064D2A">
        <w:tc>
          <w:tcPr>
            <w:tcW w:w="562" w:type="dxa"/>
          </w:tcPr>
          <w:p w14:paraId="5E63BED1" w14:textId="492D4179" w:rsidR="00721ECD" w:rsidRPr="00064D2A" w:rsidRDefault="00721ECD" w:rsidP="003E300A">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19.</w:t>
            </w:r>
          </w:p>
        </w:tc>
        <w:tc>
          <w:tcPr>
            <w:tcW w:w="1333" w:type="dxa"/>
          </w:tcPr>
          <w:p w14:paraId="339C392F" w14:textId="06E1AA61" w:rsidR="00721ECD" w:rsidRPr="00064D2A" w:rsidRDefault="005F1B2A" w:rsidP="003E300A">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MSZ</w:t>
            </w:r>
          </w:p>
        </w:tc>
        <w:tc>
          <w:tcPr>
            <w:tcW w:w="1395" w:type="dxa"/>
          </w:tcPr>
          <w:p w14:paraId="0B4A9113" w14:textId="16870BBA" w:rsidR="00721ECD" w:rsidRPr="00064D2A" w:rsidRDefault="009942F3" w:rsidP="003E300A">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Dodatkowa propozycja zmiany w</w:t>
            </w:r>
            <w:r w:rsidR="00292720" w:rsidRPr="00064D2A">
              <w:rPr>
                <w:rFonts w:ascii="Arial" w:hAnsi="Arial" w:cs="Arial"/>
                <w:b/>
                <w:bCs/>
                <w:lang w:val="pl-PL"/>
              </w:rPr>
              <w:t> </w:t>
            </w:r>
            <w:r w:rsidRPr="00064D2A">
              <w:rPr>
                <w:rFonts w:ascii="Arial" w:hAnsi="Arial" w:cs="Arial"/>
                <w:b/>
                <w:bCs/>
                <w:lang w:val="pl-PL"/>
              </w:rPr>
              <w:t xml:space="preserve">ustawie o obrocie </w:t>
            </w:r>
            <w:r w:rsidRPr="00064D2A">
              <w:rPr>
                <w:rFonts w:ascii="Arial" w:hAnsi="Arial" w:cs="Arial"/>
                <w:b/>
                <w:bCs/>
                <w:lang w:val="pl-PL"/>
              </w:rPr>
              <w:lastRenderedPageBreak/>
              <w:t>(w</w:t>
            </w:r>
            <w:r w:rsidR="00292720" w:rsidRPr="00064D2A">
              <w:rPr>
                <w:rFonts w:ascii="Arial" w:hAnsi="Arial" w:cs="Arial"/>
                <w:b/>
                <w:bCs/>
                <w:lang w:val="pl-PL"/>
              </w:rPr>
              <w:t> </w:t>
            </w:r>
            <w:r w:rsidRPr="00064D2A">
              <w:rPr>
                <w:rFonts w:ascii="Arial" w:hAnsi="Arial" w:cs="Arial"/>
                <w:b/>
                <w:bCs/>
                <w:lang w:val="pl-PL"/>
              </w:rPr>
              <w:t>zakresie art. 27c)</w:t>
            </w:r>
          </w:p>
        </w:tc>
        <w:tc>
          <w:tcPr>
            <w:tcW w:w="3793" w:type="dxa"/>
          </w:tcPr>
          <w:p w14:paraId="4D038C0B" w14:textId="77777777" w:rsidR="009942F3" w:rsidRPr="00064D2A" w:rsidRDefault="009942F3" w:rsidP="009942F3">
            <w:pPr>
              <w:spacing w:after="120"/>
              <w:jc w:val="both"/>
              <w:rPr>
                <w:rFonts w:ascii="Arial" w:hAnsi="Arial" w:cs="Arial"/>
                <w:lang w:val="pl-PL"/>
              </w:rPr>
            </w:pPr>
            <w:r w:rsidRPr="00064D2A">
              <w:rPr>
                <w:rFonts w:ascii="Arial" w:hAnsi="Arial" w:cs="Arial"/>
                <w:lang w:val="pl-PL"/>
              </w:rPr>
              <w:lastRenderedPageBreak/>
              <w:t xml:space="preserve">Jednocześnie zwracam uwagę na zapis art. 27c ust. 1 ustawy, który aktualnie stanowi: </w:t>
            </w:r>
            <w:r w:rsidRPr="00064D2A">
              <w:rPr>
                <w:rFonts w:ascii="Arial" w:hAnsi="Arial" w:cs="Arial"/>
                <w:i/>
                <w:lang w:val="pl-PL"/>
              </w:rPr>
              <w:t xml:space="preserve">Minister właściwy do spraw zagranicznych sporządza roczne sprawozdanie dotyczące wywozu uzbrojenia, które przekazuje właściwym organom państw członkowskich Unii </w:t>
            </w:r>
            <w:r w:rsidRPr="00064D2A">
              <w:rPr>
                <w:rFonts w:ascii="Arial" w:hAnsi="Arial" w:cs="Arial"/>
                <w:i/>
                <w:lang w:val="pl-PL"/>
              </w:rPr>
              <w:lastRenderedPageBreak/>
              <w:t>Europejskiej, w terminie do końca III  kwartału następnego roku</w:t>
            </w:r>
            <w:r w:rsidRPr="00064D2A">
              <w:rPr>
                <w:rFonts w:ascii="Arial" w:hAnsi="Arial" w:cs="Arial"/>
                <w:lang w:val="pl-PL"/>
              </w:rPr>
              <w:t>.</w:t>
            </w:r>
          </w:p>
          <w:p w14:paraId="1C206BDF" w14:textId="77777777" w:rsidR="009942F3" w:rsidRPr="00064D2A" w:rsidRDefault="009942F3" w:rsidP="009942F3">
            <w:pPr>
              <w:spacing w:after="120"/>
              <w:jc w:val="both"/>
              <w:rPr>
                <w:rFonts w:ascii="Arial" w:hAnsi="Arial" w:cs="Arial"/>
                <w:color w:val="212529"/>
                <w:shd w:val="clear" w:color="auto" w:fill="FFFFFF"/>
                <w:lang w:val="pl-PL"/>
              </w:rPr>
            </w:pPr>
            <w:r w:rsidRPr="00064D2A">
              <w:rPr>
                <w:rFonts w:ascii="Arial" w:hAnsi="Arial" w:cs="Arial"/>
                <w:lang w:val="pl-PL"/>
              </w:rPr>
              <w:t xml:space="preserve">Treść tego artykułu nie koresponduje z art. 8 ust. 1 </w:t>
            </w:r>
            <w:r w:rsidRPr="00064D2A">
              <w:rPr>
                <w:rFonts w:ascii="Arial" w:hAnsi="Arial" w:cs="Arial"/>
                <w:color w:val="212529"/>
                <w:lang w:val="pl-PL"/>
              </w:rPr>
              <w:t>Wspólnego Stanowiska Rady 2008/944/WPZiB</w:t>
            </w:r>
            <w:r w:rsidRPr="00064D2A">
              <w:rPr>
                <w:rFonts w:ascii="Arial" w:hAnsi="Arial" w:cs="Arial"/>
                <w:lang w:val="pl-PL"/>
              </w:rPr>
              <w:t xml:space="preserve"> </w:t>
            </w:r>
            <w:r w:rsidRPr="00064D2A">
              <w:rPr>
                <w:rFonts w:ascii="Arial" w:hAnsi="Arial" w:cs="Arial"/>
                <w:color w:val="212529"/>
                <w:lang w:val="pl-PL" w:eastAsia="pl-PL"/>
              </w:rPr>
              <w:t>z dnia 8 grudnia 2008 r.</w:t>
            </w:r>
            <w:r w:rsidRPr="00064D2A">
              <w:rPr>
                <w:rFonts w:ascii="Arial" w:hAnsi="Arial" w:cs="Arial"/>
                <w:lang w:val="pl-PL"/>
              </w:rPr>
              <w:t xml:space="preserve"> o</w:t>
            </w:r>
            <w:r w:rsidRPr="00064D2A">
              <w:rPr>
                <w:rFonts w:ascii="Arial" w:hAnsi="Arial" w:cs="Arial"/>
                <w:color w:val="212529"/>
                <w:lang w:val="pl-PL" w:eastAsia="pl-PL"/>
              </w:rPr>
              <w:t xml:space="preserve">kreślającego wspólne zasady kontroli wywozu technologii wojskowych i sprzętu wojskowego, który stanowi, że: </w:t>
            </w:r>
            <w:r w:rsidRPr="00064D2A">
              <w:rPr>
                <w:rFonts w:ascii="Arial" w:hAnsi="Arial" w:cs="Arial"/>
                <w:i/>
                <w:color w:val="212529"/>
                <w:shd w:val="clear" w:color="auto" w:fill="FFFFFF"/>
                <w:lang w:val="pl-PL"/>
              </w:rPr>
              <w:t>Do dnia 30 czerwca każdego roku każde państwo członkowskie przedkłada Europejskiej Służbie Działań Zewnętrznych informacje odnoszące się do poprzedniego roku kalendarzowego dotyczące swojego wywozu technologii wojskowych i sprzętu wojskowego oraz wdrażania przez nie niniejszego wspólnego stanowiska</w:t>
            </w:r>
            <w:r w:rsidRPr="00064D2A">
              <w:rPr>
                <w:rFonts w:ascii="Arial" w:hAnsi="Arial" w:cs="Arial"/>
                <w:color w:val="212529"/>
                <w:shd w:val="clear" w:color="auto" w:fill="FFFFFF"/>
                <w:lang w:val="pl-PL"/>
              </w:rPr>
              <w:t xml:space="preserve">. </w:t>
            </w:r>
          </w:p>
          <w:p w14:paraId="46AC46F1" w14:textId="453680F3" w:rsidR="00721ECD" w:rsidRPr="00064D2A" w:rsidRDefault="009942F3" w:rsidP="009942F3">
            <w:pPr>
              <w:spacing w:after="120"/>
              <w:jc w:val="both"/>
              <w:rPr>
                <w:rFonts w:ascii="Arial" w:hAnsi="Arial" w:cs="Arial"/>
                <w:b/>
                <w:bCs/>
                <w:lang w:val="pl-PL"/>
              </w:rPr>
            </w:pPr>
            <w:r w:rsidRPr="00064D2A">
              <w:rPr>
                <w:rFonts w:ascii="Arial" w:hAnsi="Arial" w:cs="Arial"/>
                <w:color w:val="212529"/>
                <w:shd w:val="clear" w:color="auto" w:fill="FFFFFF"/>
                <w:lang w:val="pl-PL"/>
              </w:rPr>
              <w:t>W tym przypadku niezgodność dotyczy zarówno terminu przekazania organom UE informacji nt. wywozu technologii wojskowych i sprzętu wojskowego, jak również podmiotu na rzecz, którego tego rodzaju informacje są przesyłane.</w:t>
            </w:r>
          </w:p>
        </w:tc>
        <w:tc>
          <w:tcPr>
            <w:tcW w:w="2693" w:type="dxa"/>
          </w:tcPr>
          <w:p w14:paraId="7586C736" w14:textId="77777777" w:rsidR="009942F3" w:rsidRPr="00064D2A" w:rsidRDefault="009942F3" w:rsidP="009942F3">
            <w:pPr>
              <w:spacing w:after="120"/>
              <w:jc w:val="both"/>
              <w:rPr>
                <w:rFonts w:ascii="Arial" w:hAnsi="Arial" w:cs="Arial"/>
                <w:lang w:val="pl-PL"/>
              </w:rPr>
            </w:pPr>
            <w:r w:rsidRPr="00064D2A">
              <w:rPr>
                <w:rFonts w:ascii="Arial" w:hAnsi="Arial" w:cs="Arial"/>
                <w:lang w:val="pl-PL"/>
              </w:rPr>
              <w:lastRenderedPageBreak/>
              <w:t xml:space="preserve">W związku z powyższym proponuję, aby art. 27c ustawy z dnia 29 listopada 2000 r. </w:t>
            </w:r>
            <w:r w:rsidRPr="00064D2A">
              <w:rPr>
                <w:rFonts w:ascii="Arial" w:hAnsi="Arial" w:cs="Arial"/>
                <w:i/>
                <w:lang w:val="pl-PL"/>
              </w:rPr>
              <w:t xml:space="preserve">o obrocie z zagranicą towarami, technologiami i usługami o znaczeniu strategicznym </w:t>
            </w:r>
            <w:r w:rsidRPr="00064D2A">
              <w:rPr>
                <w:rFonts w:ascii="Arial" w:hAnsi="Arial" w:cs="Arial"/>
                <w:i/>
                <w:lang w:val="pl-PL"/>
              </w:rPr>
              <w:lastRenderedPageBreak/>
              <w:t>dla bezpieczeństwa państwa, a także dla utrzymania międzynarodowego pokoju i  bezpieczeństwa</w:t>
            </w:r>
            <w:r w:rsidRPr="00064D2A">
              <w:rPr>
                <w:rFonts w:ascii="Arial" w:hAnsi="Arial" w:cs="Arial"/>
                <w:lang w:val="pl-PL"/>
              </w:rPr>
              <w:t xml:space="preserve"> otrzymał następujące brzmienie:</w:t>
            </w:r>
          </w:p>
          <w:p w14:paraId="4E955ABA" w14:textId="77777777" w:rsidR="009942F3" w:rsidRPr="00064D2A" w:rsidRDefault="009942F3" w:rsidP="009942F3">
            <w:pPr>
              <w:jc w:val="both"/>
              <w:rPr>
                <w:rFonts w:ascii="Arial" w:hAnsi="Arial" w:cs="Arial"/>
                <w:i/>
                <w:lang w:val="pl-PL"/>
              </w:rPr>
            </w:pPr>
            <w:r w:rsidRPr="00064D2A">
              <w:rPr>
                <w:rFonts w:ascii="Arial" w:hAnsi="Arial" w:cs="Arial"/>
                <w:i/>
                <w:lang w:val="pl-PL"/>
              </w:rPr>
              <w:t xml:space="preserve">„art. 27c </w:t>
            </w:r>
          </w:p>
          <w:p w14:paraId="52C67201" w14:textId="1BC4978D" w:rsidR="009942F3" w:rsidRPr="00064D2A" w:rsidRDefault="00622F8A" w:rsidP="00622F8A">
            <w:pPr>
              <w:jc w:val="both"/>
              <w:rPr>
                <w:rFonts w:ascii="Arial" w:hAnsi="Arial" w:cs="Arial"/>
                <w:i/>
                <w:lang w:val="pl-PL"/>
              </w:rPr>
            </w:pPr>
            <w:r w:rsidRPr="00064D2A">
              <w:rPr>
                <w:rFonts w:ascii="Arial" w:hAnsi="Arial" w:cs="Arial"/>
                <w:i/>
                <w:lang w:val="pl-PL"/>
              </w:rPr>
              <w:t>1.</w:t>
            </w:r>
            <w:r w:rsidR="009942F3" w:rsidRPr="00064D2A">
              <w:rPr>
                <w:rFonts w:ascii="Arial" w:hAnsi="Arial" w:cs="Arial"/>
                <w:i/>
                <w:lang w:val="pl-PL"/>
              </w:rPr>
              <w:t>Minister właściwy do spraw zagranicznych przekazuje roczną informację dotyczącą wywozu oraz transferów wewnątrzunijnych uzbrojenia z Polski właściwym organom Unii Europejskiej, w terminie do końca II kwartału następnego roku.</w:t>
            </w:r>
          </w:p>
          <w:p w14:paraId="22106170" w14:textId="27B77C93" w:rsidR="009942F3" w:rsidRPr="00064D2A" w:rsidRDefault="00622F8A" w:rsidP="00622F8A">
            <w:pPr>
              <w:jc w:val="both"/>
              <w:rPr>
                <w:rFonts w:ascii="Arial" w:hAnsi="Arial" w:cs="Arial"/>
                <w:i/>
                <w:lang w:val="pl-PL"/>
              </w:rPr>
            </w:pPr>
            <w:r w:rsidRPr="00064D2A">
              <w:rPr>
                <w:rFonts w:ascii="Arial" w:hAnsi="Arial" w:cs="Arial"/>
                <w:i/>
                <w:lang w:val="pl-PL"/>
              </w:rPr>
              <w:t xml:space="preserve">2. </w:t>
            </w:r>
            <w:r w:rsidR="009942F3" w:rsidRPr="00064D2A">
              <w:rPr>
                <w:rFonts w:ascii="Arial" w:hAnsi="Arial" w:cs="Arial"/>
                <w:i/>
                <w:lang w:val="pl-PL"/>
              </w:rPr>
              <w:t>Minister właściwy do spraw zagranicznych publikuje informację, o której mowa w  ust. 1, w terminie do końca III kwartału następnego roku.”.</w:t>
            </w:r>
          </w:p>
          <w:p w14:paraId="5A2A5880" w14:textId="77777777" w:rsidR="00721ECD" w:rsidRPr="00064D2A" w:rsidRDefault="00721ECD" w:rsidP="003E300A">
            <w:pPr>
              <w:autoSpaceDE w:val="0"/>
              <w:autoSpaceDN w:val="0"/>
              <w:adjustRightInd w:val="0"/>
              <w:spacing w:line="300" w:lineRule="auto"/>
              <w:jc w:val="both"/>
              <w:rPr>
                <w:rFonts w:ascii="Arial" w:hAnsi="Arial" w:cs="Arial"/>
                <w:b/>
                <w:bCs/>
                <w:lang w:val="pl-PL"/>
              </w:rPr>
            </w:pPr>
          </w:p>
        </w:tc>
        <w:tc>
          <w:tcPr>
            <w:tcW w:w="4111" w:type="dxa"/>
          </w:tcPr>
          <w:p w14:paraId="1D6D722E" w14:textId="77777777" w:rsidR="00622F8A" w:rsidRPr="00064D2A" w:rsidRDefault="00622F8A" w:rsidP="00622F8A">
            <w:pPr>
              <w:autoSpaceDE w:val="0"/>
              <w:autoSpaceDN w:val="0"/>
              <w:adjustRightInd w:val="0"/>
              <w:jc w:val="both"/>
              <w:rPr>
                <w:rFonts w:ascii="Arial" w:hAnsi="Arial" w:cs="Arial"/>
                <w:b/>
                <w:bCs/>
                <w:lang w:val="pl-PL"/>
              </w:rPr>
            </w:pPr>
            <w:r w:rsidRPr="00064D2A">
              <w:rPr>
                <w:rFonts w:ascii="Arial" w:hAnsi="Arial" w:cs="Arial"/>
                <w:b/>
                <w:bCs/>
                <w:lang w:val="pl-PL"/>
              </w:rPr>
              <w:lastRenderedPageBreak/>
              <w:t>Propozycja uwzględniona-</w:t>
            </w:r>
          </w:p>
          <w:p w14:paraId="0AC223AF" w14:textId="77777777" w:rsidR="00622F8A" w:rsidRPr="00064D2A" w:rsidRDefault="00622F8A" w:rsidP="00622F8A">
            <w:pPr>
              <w:autoSpaceDE w:val="0"/>
              <w:autoSpaceDN w:val="0"/>
              <w:adjustRightInd w:val="0"/>
              <w:jc w:val="both"/>
              <w:rPr>
                <w:rFonts w:ascii="Arial" w:hAnsi="Arial" w:cs="Arial"/>
                <w:b/>
                <w:bCs/>
                <w:lang w:val="pl-PL"/>
              </w:rPr>
            </w:pPr>
          </w:p>
          <w:p w14:paraId="7045D731" w14:textId="5B67EB40" w:rsidR="00721ECD" w:rsidRPr="00064D2A" w:rsidRDefault="00622F8A" w:rsidP="00622F8A">
            <w:pPr>
              <w:autoSpaceDE w:val="0"/>
              <w:autoSpaceDN w:val="0"/>
              <w:adjustRightInd w:val="0"/>
              <w:jc w:val="both"/>
              <w:rPr>
                <w:rFonts w:ascii="Arial" w:hAnsi="Arial" w:cs="Arial"/>
                <w:b/>
                <w:bCs/>
                <w:lang w:val="pl-PL"/>
              </w:rPr>
            </w:pPr>
            <w:r w:rsidRPr="00064D2A">
              <w:rPr>
                <w:rFonts w:ascii="Arial" w:hAnsi="Arial" w:cs="Arial"/>
                <w:lang w:val="pl-PL"/>
              </w:rPr>
              <w:t>dodano zmianę zgodnie z propozycją MSZ – art. 1 pkt 16 projektu (art. 27c otrzymał nowe brzmienie).</w:t>
            </w:r>
          </w:p>
        </w:tc>
      </w:tr>
      <w:tr w:rsidR="00721ECD" w:rsidRPr="00064D2A" w14:paraId="7976044E" w14:textId="77777777" w:rsidTr="00064D2A">
        <w:tc>
          <w:tcPr>
            <w:tcW w:w="562" w:type="dxa"/>
          </w:tcPr>
          <w:p w14:paraId="162B9DE0" w14:textId="6A1428B6" w:rsidR="00721ECD" w:rsidRPr="00064D2A" w:rsidRDefault="00721ECD" w:rsidP="003E300A">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20</w:t>
            </w:r>
          </w:p>
        </w:tc>
        <w:tc>
          <w:tcPr>
            <w:tcW w:w="1333" w:type="dxa"/>
          </w:tcPr>
          <w:p w14:paraId="22544EAD" w14:textId="43FB2EDD" w:rsidR="00721ECD" w:rsidRPr="00064D2A" w:rsidRDefault="005D59C6" w:rsidP="003E300A">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MC</w:t>
            </w:r>
          </w:p>
        </w:tc>
        <w:tc>
          <w:tcPr>
            <w:tcW w:w="1395" w:type="dxa"/>
          </w:tcPr>
          <w:p w14:paraId="175B1473" w14:textId="79B477A5" w:rsidR="00721ECD" w:rsidRPr="00064D2A" w:rsidRDefault="005D59C6" w:rsidP="005D59C6">
            <w:pPr>
              <w:autoSpaceDE w:val="0"/>
              <w:autoSpaceDN w:val="0"/>
              <w:adjustRightInd w:val="0"/>
              <w:jc w:val="both"/>
              <w:rPr>
                <w:rFonts w:ascii="Arial" w:hAnsi="Arial" w:cs="Arial"/>
                <w:b/>
                <w:bCs/>
                <w:lang w:val="pl-PL"/>
              </w:rPr>
            </w:pPr>
            <w:r w:rsidRPr="00064D2A">
              <w:rPr>
                <w:rFonts w:ascii="Arial" w:hAnsi="Arial" w:cs="Arial"/>
                <w:b/>
                <w:bCs/>
                <w:iCs/>
                <w:lang w:val="pl-PL"/>
              </w:rPr>
              <w:t>A</w:t>
            </w:r>
            <w:r w:rsidRPr="006D6DCF">
              <w:rPr>
                <w:rFonts w:ascii="Arial" w:hAnsi="Arial" w:cs="Arial"/>
                <w:b/>
                <w:bCs/>
                <w:iCs/>
                <w:lang w:val="pl-PL"/>
              </w:rPr>
              <w:t>rt. 1 pkt 5 lit. a</w:t>
            </w:r>
            <w:r w:rsidRPr="00064D2A">
              <w:rPr>
                <w:rFonts w:ascii="Arial" w:hAnsi="Arial" w:cs="Arial"/>
                <w:b/>
                <w:bCs/>
                <w:iCs/>
                <w:lang w:val="pl-PL"/>
              </w:rPr>
              <w:t xml:space="preserve"> - </w:t>
            </w:r>
            <w:r w:rsidRPr="006D6DCF">
              <w:rPr>
                <w:rFonts w:ascii="Arial" w:hAnsi="Arial" w:cs="Arial"/>
                <w:b/>
                <w:bCs/>
                <w:iCs/>
                <w:lang w:val="pl-PL"/>
              </w:rPr>
              <w:t xml:space="preserve">w </w:t>
            </w:r>
            <w:r w:rsidRPr="00064D2A">
              <w:rPr>
                <w:rFonts w:ascii="Arial" w:hAnsi="Arial" w:cs="Arial"/>
                <w:b/>
                <w:bCs/>
                <w:iCs/>
                <w:lang w:val="pl-PL"/>
              </w:rPr>
              <w:t xml:space="preserve">odniesieniu do </w:t>
            </w:r>
            <w:r w:rsidRPr="006D6DCF">
              <w:rPr>
                <w:rFonts w:ascii="Arial" w:hAnsi="Arial" w:cs="Arial"/>
                <w:b/>
                <w:bCs/>
                <w:iCs/>
                <w:lang w:val="pl-PL"/>
              </w:rPr>
              <w:t>art. 8 ust. 3 ustawy</w:t>
            </w:r>
            <w:r w:rsidRPr="00064D2A">
              <w:rPr>
                <w:rFonts w:ascii="Arial" w:hAnsi="Arial" w:cs="Arial"/>
                <w:b/>
                <w:bCs/>
                <w:iCs/>
                <w:lang w:val="pl-PL"/>
              </w:rPr>
              <w:t xml:space="preserve"> o obrocie</w:t>
            </w:r>
          </w:p>
        </w:tc>
        <w:tc>
          <w:tcPr>
            <w:tcW w:w="3793" w:type="dxa"/>
          </w:tcPr>
          <w:p w14:paraId="3AE94382" w14:textId="77777777" w:rsidR="00582F29" w:rsidRPr="006D6DCF" w:rsidRDefault="00582F29" w:rsidP="00582F29">
            <w:pPr>
              <w:jc w:val="both"/>
              <w:rPr>
                <w:rFonts w:ascii="Arial" w:hAnsi="Arial" w:cs="Arial"/>
                <w:iCs/>
                <w:lang w:val="pl-PL"/>
              </w:rPr>
            </w:pPr>
            <w:r w:rsidRPr="006D6DCF">
              <w:rPr>
                <w:rFonts w:ascii="Arial" w:hAnsi="Arial" w:cs="Arial"/>
                <w:iCs/>
                <w:lang w:val="pl-PL"/>
              </w:rPr>
              <w:t>Wymaga wyjaśnienia, czy dokumenty, o których mowa w tym przepisie będą zawierały</w:t>
            </w:r>
          </w:p>
          <w:p w14:paraId="1C2C2BD6" w14:textId="2C518826" w:rsidR="00721ECD" w:rsidRPr="00064D2A" w:rsidRDefault="00582F29" w:rsidP="00582F29">
            <w:pPr>
              <w:jc w:val="both"/>
              <w:rPr>
                <w:rFonts w:ascii="Arial" w:hAnsi="Arial" w:cs="Arial"/>
                <w:b/>
                <w:bCs/>
                <w:lang w:val="pl-PL"/>
              </w:rPr>
            </w:pPr>
            <w:r w:rsidRPr="006D6DCF">
              <w:rPr>
                <w:rFonts w:ascii="Arial" w:hAnsi="Arial" w:cs="Arial"/>
                <w:iCs/>
                <w:lang w:val="pl-PL"/>
              </w:rPr>
              <w:t>dane osobowe w rozumieniu art. 4 pkt 7 RODO. Analogiczna uwaga dotyczy dodawanego</w:t>
            </w:r>
            <w:r w:rsidRPr="00064D2A">
              <w:rPr>
                <w:rFonts w:ascii="Arial" w:hAnsi="Arial" w:cs="Arial"/>
                <w:iCs/>
                <w:lang w:val="pl-PL"/>
              </w:rPr>
              <w:t xml:space="preserve"> </w:t>
            </w:r>
            <w:r w:rsidRPr="006D6DCF">
              <w:rPr>
                <w:rFonts w:ascii="Arial" w:hAnsi="Arial" w:cs="Arial"/>
                <w:iCs/>
                <w:lang w:val="pl-PL"/>
              </w:rPr>
              <w:t>w art. 8 ust. 4 ustawy zmienianej.</w:t>
            </w:r>
            <w:r w:rsidRPr="00064D2A">
              <w:rPr>
                <w:rFonts w:ascii="Arial" w:hAnsi="Arial" w:cs="Arial"/>
                <w:iCs/>
                <w:lang w:val="pl-PL"/>
              </w:rPr>
              <w:t xml:space="preserve"> </w:t>
            </w:r>
          </w:p>
        </w:tc>
        <w:tc>
          <w:tcPr>
            <w:tcW w:w="2693" w:type="dxa"/>
          </w:tcPr>
          <w:p w14:paraId="659A8316" w14:textId="77777777" w:rsidR="00721ECD" w:rsidRPr="00064D2A" w:rsidRDefault="00721ECD" w:rsidP="003E300A">
            <w:pPr>
              <w:autoSpaceDE w:val="0"/>
              <w:autoSpaceDN w:val="0"/>
              <w:adjustRightInd w:val="0"/>
              <w:spacing w:line="300" w:lineRule="auto"/>
              <w:jc w:val="both"/>
              <w:rPr>
                <w:rFonts w:ascii="Arial" w:hAnsi="Arial" w:cs="Arial"/>
                <w:b/>
                <w:bCs/>
                <w:lang w:val="pl-PL"/>
              </w:rPr>
            </w:pPr>
          </w:p>
        </w:tc>
        <w:tc>
          <w:tcPr>
            <w:tcW w:w="4111" w:type="dxa"/>
          </w:tcPr>
          <w:p w14:paraId="02032DBE" w14:textId="77777777" w:rsidR="00EA021D" w:rsidRPr="00064D2A" w:rsidRDefault="00EA021D" w:rsidP="003E300A">
            <w:pPr>
              <w:autoSpaceDE w:val="0"/>
              <w:autoSpaceDN w:val="0"/>
              <w:adjustRightInd w:val="0"/>
              <w:jc w:val="both"/>
              <w:rPr>
                <w:rFonts w:ascii="Arial" w:hAnsi="Arial" w:cs="Arial"/>
                <w:b/>
                <w:bCs/>
                <w:lang w:val="pl-PL"/>
              </w:rPr>
            </w:pPr>
            <w:r w:rsidRPr="00064D2A">
              <w:rPr>
                <w:rFonts w:ascii="Arial" w:hAnsi="Arial" w:cs="Arial"/>
                <w:b/>
                <w:bCs/>
                <w:lang w:val="pl-PL"/>
              </w:rPr>
              <w:t>Wyjaśnienie-</w:t>
            </w:r>
          </w:p>
          <w:p w14:paraId="01E6E7F2" w14:textId="77777777" w:rsidR="00502EB4" w:rsidRPr="00064D2A" w:rsidRDefault="00502EB4" w:rsidP="003E300A">
            <w:pPr>
              <w:autoSpaceDE w:val="0"/>
              <w:autoSpaceDN w:val="0"/>
              <w:adjustRightInd w:val="0"/>
              <w:jc w:val="both"/>
              <w:rPr>
                <w:rFonts w:ascii="Arial" w:hAnsi="Arial" w:cs="Arial"/>
                <w:b/>
                <w:bCs/>
                <w:lang w:val="pl-PL"/>
              </w:rPr>
            </w:pPr>
          </w:p>
          <w:p w14:paraId="6F24FFCB" w14:textId="4325F7E2" w:rsidR="00721ECD" w:rsidRPr="00064D2A" w:rsidRDefault="00502EB4" w:rsidP="003E300A">
            <w:pPr>
              <w:autoSpaceDE w:val="0"/>
              <w:autoSpaceDN w:val="0"/>
              <w:adjustRightInd w:val="0"/>
              <w:jc w:val="both"/>
              <w:rPr>
                <w:rFonts w:ascii="Arial" w:hAnsi="Arial" w:cs="Arial"/>
                <w:lang w:val="pl-PL"/>
              </w:rPr>
            </w:pPr>
            <w:r w:rsidRPr="00064D2A">
              <w:rPr>
                <w:rFonts w:ascii="Arial" w:hAnsi="Arial" w:cs="Arial"/>
                <w:lang w:val="pl-PL"/>
              </w:rPr>
              <w:t>t</w:t>
            </w:r>
            <w:r w:rsidR="00EA021D" w:rsidRPr="00064D2A">
              <w:rPr>
                <w:rFonts w:ascii="Arial" w:hAnsi="Arial" w:cs="Arial"/>
                <w:lang w:val="pl-PL"/>
              </w:rPr>
              <w:t>ak</w:t>
            </w:r>
            <w:r w:rsidRPr="00064D2A">
              <w:rPr>
                <w:rFonts w:ascii="Arial" w:hAnsi="Arial" w:cs="Arial"/>
                <w:lang w:val="pl-PL"/>
              </w:rPr>
              <w:t>,</w:t>
            </w:r>
            <w:r w:rsidR="00EA021D" w:rsidRPr="00064D2A">
              <w:rPr>
                <w:rFonts w:ascii="Arial" w:hAnsi="Arial" w:cs="Arial"/>
                <w:lang w:val="pl-PL"/>
              </w:rPr>
              <w:t xml:space="preserve"> </w:t>
            </w:r>
            <w:r w:rsidRPr="00064D2A">
              <w:rPr>
                <w:rFonts w:ascii="Arial" w:hAnsi="Arial" w:cs="Arial"/>
                <w:lang w:val="pl-PL"/>
              </w:rPr>
              <w:t>w naszej ocenie tak będzie biorąc pod uwagę, że takie oświadczenie nawet w imieniu przedsiębiorcy – osoby prawnej -  składa zawsze jakaś osoba fizyczna o danym imieniu i nazwisku (więc są to dane osobowe).</w:t>
            </w:r>
          </w:p>
        </w:tc>
      </w:tr>
      <w:tr w:rsidR="00721ECD" w:rsidRPr="00064D2A" w14:paraId="0AD6108B" w14:textId="77777777" w:rsidTr="00064D2A">
        <w:tc>
          <w:tcPr>
            <w:tcW w:w="562" w:type="dxa"/>
          </w:tcPr>
          <w:p w14:paraId="17D0D424" w14:textId="4D3C0058" w:rsidR="00721ECD" w:rsidRPr="00064D2A" w:rsidRDefault="00721ECD" w:rsidP="003E300A">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21.</w:t>
            </w:r>
          </w:p>
        </w:tc>
        <w:tc>
          <w:tcPr>
            <w:tcW w:w="1333" w:type="dxa"/>
          </w:tcPr>
          <w:p w14:paraId="41672B51" w14:textId="2B518DAA" w:rsidR="00721ECD" w:rsidRPr="00064D2A" w:rsidRDefault="005D59C6" w:rsidP="003E300A">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MC</w:t>
            </w:r>
          </w:p>
        </w:tc>
        <w:tc>
          <w:tcPr>
            <w:tcW w:w="1395" w:type="dxa"/>
          </w:tcPr>
          <w:p w14:paraId="2DF58BC8" w14:textId="219F0C29" w:rsidR="00721ECD" w:rsidRPr="00064D2A" w:rsidRDefault="005D59C6" w:rsidP="005D59C6">
            <w:pPr>
              <w:autoSpaceDE w:val="0"/>
              <w:autoSpaceDN w:val="0"/>
              <w:adjustRightInd w:val="0"/>
              <w:jc w:val="both"/>
              <w:rPr>
                <w:rFonts w:ascii="Arial" w:hAnsi="Arial" w:cs="Arial"/>
                <w:b/>
                <w:bCs/>
                <w:lang w:val="pl-PL"/>
              </w:rPr>
            </w:pPr>
            <w:r w:rsidRPr="00064D2A">
              <w:rPr>
                <w:rFonts w:ascii="Arial" w:hAnsi="Arial" w:cs="Arial"/>
                <w:b/>
                <w:bCs/>
                <w:iCs/>
                <w:lang w:val="pl-PL"/>
              </w:rPr>
              <w:t>A</w:t>
            </w:r>
            <w:r w:rsidRPr="006D6DCF">
              <w:rPr>
                <w:rFonts w:ascii="Arial" w:hAnsi="Arial" w:cs="Arial"/>
                <w:b/>
                <w:bCs/>
                <w:iCs/>
                <w:lang w:val="pl-PL"/>
              </w:rPr>
              <w:t>rt. 1 pkt 6 lit. a</w:t>
            </w:r>
            <w:r w:rsidRPr="00064D2A">
              <w:rPr>
                <w:rFonts w:ascii="Arial" w:hAnsi="Arial" w:cs="Arial"/>
                <w:b/>
                <w:bCs/>
                <w:iCs/>
                <w:lang w:val="pl-PL"/>
              </w:rPr>
              <w:t xml:space="preserve">- </w:t>
            </w:r>
            <w:r w:rsidRPr="006D6DCF">
              <w:rPr>
                <w:rFonts w:ascii="Arial" w:hAnsi="Arial" w:cs="Arial"/>
                <w:b/>
                <w:bCs/>
                <w:iCs/>
                <w:lang w:val="pl-PL"/>
              </w:rPr>
              <w:t xml:space="preserve">w </w:t>
            </w:r>
            <w:r w:rsidRPr="00064D2A">
              <w:rPr>
                <w:rFonts w:ascii="Arial" w:hAnsi="Arial" w:cs="Arial"/>
                <w:b/>
                <w:bCs/>
                <w:iCs/>
                <w:lang w:val="pl-PL"/>
              </w:rPr>
              <w:t>odniesieniu do</w:t>
            </w:r>
            <w:r w:rsidRPr="006D6DCF">
              <w:rPr>
                <w:rFonts w:ascii="Arial" w:hAnsi="Arial" w:cs="Arial"/>
                <w:b/>
                <w:bCs/>
                <w:iCs/>
                <w:lang w:val="pl-PL"/>
              </w:rPr>
              <w:t xml:space="preserve"> art. 9 ust. 2 pkt 11 ustawy </w:t>
            </w:r>
            <w:r w:rsidRPr="00064D2A">
              <w:rPr>
                <w:rFonts w:ascii="Arial" w:hAnsi="Arial" w:cs="Arial"/>
                <w:b/>
                <w:bCs/>
                <w:iCs/>
                <w:lang w:val="pl-PL"/>
              </w:rPr>
              <w:t xml:space="preserve"> o obrocie</w:t>
            </w:r>
          </w:p>
        </w:tc>
        <w:tc>
          <w:tcPr>
            <w:tcW w:w="3793" w:type="dxa"/>
          </w:tcPr>
          <w:p w14:paraId="17C7B81D" w14:textId="6354E4DD" w:rsidR="00582F29" w:rsidRPr="00064D2A" w:rsidRDefault="00582F29" w:rsidP="00582F29">
            <w:pPr>
              <w:jc w:val="both"/>
              <w:rPr>
                <w:rFonts w:ascii="Arial" w:hAnsi="Arial" w:cs="Arial"/>
                <w:iCs/>
                <w:lang w:val="pl-PL"/>
              </w:rPr>
            </w:pPr>
            <w:r w:rsidRPr="006D6DCF">
              <w:rPr>
                <w:rFonts w:ascii="Arial" w:hAnsi="Arial" w:cs="Arial"/>
                <w:iCs/>
                <w:lang w:val="pl-PL"/>
              </w:rPr>
              <w:t>Wymaga wyjaśnienia, czy wobec tych osób spełniany będzie obowiązek informacyjny</w:t>
            </w:r>
            <w:r w:rsidRPr="00064D2A">
              <w:rPr>
                <w:rFonts w:ascii="Arial" w:hAnsi="Arial" w:cs="Arial"/>
                <w:iCs/>
                <w:lang w:val="pl-PL"/>
              </w:rPr>
              <w:t xml:space="preserve"> </w:t>
            </w:r>
            <w:r w:rsidRPr="006D6DCF">
              <w:rPr>
                <w:rFonts w:ascii="Arial" w:hAnsi="Arial" w:cs="Arial"/>
                <w:iCs/>
                <w:lang w:val="pl-PL"/>
              </w:rPr>
              <w:t>dotyczący przetwarzania danych osobowych. Należy również określić przez jaki okres</w:t>
            </w:r>
            <w:r w:rsidRPr="00064D2A">
              <w:rPr>
                <w:rFonts w:ascii="Arial" w:hAnsi="Arial" w:cs="Arial"/>
                <w:iCs/>
                <w:lang w:val="pl-PL"/>
              </w:rPr>
              <w:t xml:space="preserve"> dane osobowe będą przechowywane.</w:t>
            </w:r>
          </w:p>
          <w:p w14:paraId="63EEF278" w14:textId="77777777" w:rsidR="00582F29" w:rsidRPr="00064D2A" w:rsidRDefault="00582F29" w:rsidP="00582F29">
            <w:pPr>
              <w:jc w:val="both"/>
              <w:rPr>
                <w:rFonts w:ascii="Arial" w:hAnsi="Arial" w:cs="Arial"/>
                <w:iCs/>
                <w:lang w:val="pl-PL"/>
              </w:rPr>
            </w:pPr>
          </w:p>
          <w:p w14:paraId="40004AD4" w14:textId="77777777" w:rsidR="00721ECD" w:rsidRPr="00064D2A" w:rsidRDefault="00721ECD" w:rsidP="003E300A">
            <w:pPr>
              <w:autoSpaceDE w:val="0"/>
              <w:autoSpaceDN w:val="0"/>
              <w:adjustRightInd w:val="0"/>
              <w:spacing w:line="300" w:lineRule="auto"/>
              <w:jc w:val="both"/>
              <w:rPr>
                <w:rFonts w:ascii="Arial" w:hAnsi="Arial" w:cs="Arial"/>
                <w:b/>
                <w:bCs/>
                <w:lang w:val="pl-PL"/>
              </w:rPr>
            </w:pPr>
          </w:p>
        </w:tc>
        <w:tc>
          <w:tcPr>
            <w:tcW w:w="2693" w:type="dxa"/>
          </w:tcPr>
          <w:p w14:paraId="66437251" w14:textId="77777777" w:rsidR="00721ECD" w:rsidRPr="00064D2A" w:rsidRDefault="00721ECD" w:rsidP="003E300A">
            <w:pPr>
              <w:autoSpaceDE w:val="0"/>
              <w:autoSpaceDN w:val="0"/>
              <w:adjustRightInd w:val="0"/>
              <w:spacing w:line="300" w:lineRule="auto"/>
              <w:jc w:val="both"/>
              <w:rPr>
                <w:rFonts w:ascii="Arial" w:hAnsi="Arial" w:cs="Arial"/>
                <w:b/>
                <w:bCs/>
                <w:lang w:val="pl-PL"/>
              </w:rPr>
            </w:pPr>
          </w:p>
        </w:tc>
        <w:tc>
          <w:tcPr>
            <w:tcW w:w="4111" w:type="dxa"/>
          </w:tcPr>
          <w:p w14:paraId="47D9AE8F" w14:textId="77777777" w:rsidR="00721ECD" w:rsidRPr="00064D2A" w:rsidRDefault="00EA021D" w:rsidP="003E300A">
            <w:pPr>
              <w:autoSpaceDE w:val="0"/>
              <w:autoSpaceDN w:val="0"/>
              <w:adjustRightInd w:val="0"/>
              <w:jc w:val="both"/>
              <w:rPr>
                <w:rFonts w:ascii="Arial" w:hAnsi="Arial" w:cs="Arial"/>
                <w:b/>
                <w:bCs/>
                <w:lang w:val="pl-PL"/>
              </w:rPr>
            </w:pPr>
            <w:r w:rsidRPr="00064D2A">
              <w:rPr>
                <w:rFonts w:ascii="Arial" w:hAnsi="Arial" w:cs="Arial"/>
                <w:b/>
                <w:bCs/>
                <w:lang w:val="pl-PL"/>
              </w:rPr>
              <w:t>Wyjaśnienie-</w:t>
            </w:r>
          </w:p>
          <w:p w14:paraId="68F86BDE" w14:textId="77777777" w:rsidR="00685E59" w:rsidRPr="00064D2A" w:rsidRDefault="00685E59" w:rsidP="003E300A">
            <w:pPr>
              <w:autoSpaceDE w:val="0"/>
              <w:autoSpaceDN w:val="0"/>
              <w:adjustRightInd w:val="0"/>
              <w:jc w:val="both"/>
              <w:rPr>
                <w:rFonts w:ascii="Arial" w:hAnsi="Arial" w:cs="Arial"/>
                <w:b/>
                <w:bCs/>
                <w:lang w:val="pl-PL"/>
              </w:rPr>
            </w:pPr>
          </w:p>
          <w:p w14:paraId="4FFF2909" w14:textId="677DEE92" w:rsidR="00EA021D" w:rsidRPr="00064D2A" w:rsidRDefault="00685E59" w:rsidP="003E300A">
            <w:pPr>
              <w:autoSpaceDE w:val="0"/>
              <w:autoSpaceDN w:val="0"/>
              <w:adjustRightInd w:val="0"/>
              <w:jc w:val="both"/>
              <w:rPr>
                <w:rFonts w:ascii="Arial" w:hAnsi="Arial" w:cs="Arial"/>
                <w:lang w:val="pl-PL"/>
              </w:rPr>
            </w:pPr>
            <w:r w:rsidRPr="00064D2A">
              <w:rPr>
                <w:rFonts w:ascii="Arial" w:hAnsi="Arial" w:cs="Arial"/>
                <w:lang w:val="pl-PL"/>
              </w:rPr>
              <w:t>t</w:t>
            </w:r>
            <w:r w:rsidR="00EA021D" w:rsidRPr="00064D2A">
              <w:rPr>
                <w:rFonts w:ascii="Arial" w:hAnsi="Arial" w:cs="Arial"/>
                <w:lang w:val="pl-PL"/>
              </w:rPr>
              <w:t>ak</w:t>
            </w:r>
            <w:r w:rsidR="00502EB4" w:rsidRPr="00064D2A">
              <w:rPr>
                <w:rFonts w:ascii="Arial" w:hAnsi="Arial" w:cs="Arial"/>
                <w:lang w:val="pl-PL"/>
              </w:rPr>
              <w:t xml:space="preserve">, taki obowiązek </w:t>
            </w:r>
            <w:r w:rsidR="00EA021D" w:rsidRPr="00064D2A">
              <w:rPr>
                <w:rFonts w:ascii="Arial" w:hAnsi="Arial" w:cs="Arial"/>
                <w:lang w:val="pl-PL"/>
              </w:rPr>
              <w:t>będzie spełniany</w:t>
            </w:r>
            <w:r w:rsidR="00502EB4" w:rsidRPr="00064D2A">
              <w:rPr>
                <w:rFonts w:ascii="Arial" w:hAnsi="Arial" w:cs="Arial"/>
                <w:lang w:val="pl-PL"/>
              </w:rPr>
              <w:t xml:space="preserve">, tak jak jest obecnie przy przetwarzaniu danych osobowych w obecnych postępowaniach w obecnym rejestrze </w:t>
            </w:r>
            <w:r w:rsidRPr="00064D2A">
              <w:rPr>
                <w:rFonts w:ascii="Arial" w:hAnsi="Arial" w:cs="Arial"/>
                <w:lang w:val="pl-PL"/>
              </w:rPr>
              <w:t xml:space="preserve">zgodnie z obowiązującym bezpośrednio </w:t>
            </w:r>
            <w:r w:rsidRPr="00064D2A">
              <w:rPr>
                <w:rFonts w:ascii="Arial" w:hAnsi="Arial" w:cs="Arial"/>
                <w:lang w:val="pl-PL"/>
              </w:rPr>
              <w:lastRenderedPageBreak/>
              <w:t xml:space="preserve">rozporządzeniem RODO </w:t>
            </w:r>
            <w:r w:rsidR="00502EB4" w:rsidRPr="00064D2A">
              <w:rPr>
                <w:rFonts w:ascii="Arial" w:hAnsi="Arial" w:cs="Arial"/>
                <w:lang w:val="pl-PL"/>
              </w:rPr>
              <w:t>(</w:t>
            </w:r>
            <w:r w:rsidRPr="00064D2A">
              <w:rPr>
                <w:rFonts w:ascii="Arial" w:hAnsi="Arial" w:cs="Arial"/>
                <w:lang w:val="pl-PL"/>
              </w:rPr>
              <w:t xml:space="preserve">odpowiednie klauzule </w:t>
            </w:r>
            <w:r w:rsidR="00502EB4" w:rsidRPr="00064D2A">
              <w:rPr>
                <w:rFonts w:ascii="Arial" w:hAnsi="Arial" w:cs="Arial"/>
                <w:lang w:val="pl-PL"/>
              </w:rPr>
              <w:t>dotyczące przetwarzania danych osobowych będą są i będą udostępniane/wysyłane w celach informacyjnych).</w:t>
            </w:r>
          </w:p>
        </w:tc>
      </w:tr>
      <w:tr w:rsidR="00721ECD" w:rsidRPr="00064D2A" w14:paraId="12BDBBD3" w14:textId="77777777" w:rsidTr="00064D2A">
        <w:tc>
          <w:tcPr>
            <w:tcW w:w="562" w:type="dxa"/>
          </w:tcPr>
          <w:p w14:paraId="514568E8" w14:textId="11E6174C" w:rsidR="00721ECD" w:rsidRPr="00064D2A" w:rsidRDefault="00721ECD" w:rsidP="003E300A">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lastRenderedPageBreak/>
              <w:t>22.</w:t>
            </w:r>
          </w:p>
        </w:tc>
        <w:tc>
          <w:tcPr>
            <w:tcW w:w="1333" w:type="dxa"/>
          </w:tcPr>
          <w:p w14:paraId="6ED65FE6" w14:textId="13F2B637" w:rsidR="00721ECD" w:rsidRPr="00064D2A" w:rsidRDefault="005D59C6" w:rsidP="003E300A">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MC</w:t>
            </w:r>
          </w:p>
        </w:tc>
        <w:tc>
          <w:tcPr>
            <w:tcW w:w="1395" w:type="dxa"/>
          </w:tcPr>
          <w:p w14:paraId="3129EFAB" w14:textId="5558E13C" w:rsidR="00721ECD" w:rsidRPr="00064D2A" w:rsidRDefault="005D59C6" w:rsidP="005D59C6">
            <w:pPr>
              <w:autoSpaceDE w:val="0"/>
              <w:autoSpaceDN w:val="0"/>
              <w:adjustRightInd w:val="0"/>
              <w:jc w:val="both"/>
              <w:rPr>
                <w:rFonts w:ascii="Arial" w:hAnsi="Arial" w:cs="Arial"/>
                <w:b/>
                <w:bCs/>
                <w:lang w:val="pl-PL"/>
              </w:rPr>
            </w:pPr>
            <w:r w:rsidRPr="00064D2A">
              <w:rPr>
                <w:rFonts w:ascii="Arial" w:hAnsi="Arial" w:cs="Arial"/>
                <w:b/>
                <w:bCs/>
                <w:iCs/>
                <w:lang w:val="pl-PL"/>
              </w:rPr>
              <w:t>A</w:t>
            </w:r>
            <w:r w:rsidRPr="002A65F2">
              <w:rPr>
                <w:rFonts w:ascii="Arial" w:hAnsi="Arial" w:cs="Arial"/>
                <w:b/>
                <w:bCs/>
                <w:iCs/>
                <w:lang w:val="pl-PL"/>
              </w:rPr>
              <w:t xml:space="preserve">rt. 1 pkt 6 lit. e </w:t>
            </w:r>
            <w:r w:rsidRPr="00064D2A">
              <w:rPr>
                <w:rFonts w:ascii="Arial" w:hAnsi="Arial" w:cs="Arial"/>
                <w:b/>
                <w:bCs/>
                <w:iCs/>
                <w:lang w:val="pl-PL"/>
              </w:rPr>
              <w:t xml:space="preserve">- </w:t>
            </w:r>
            <w:r w:rsidRPr="002A65F2">
              <w:rPr>
                <w:rFonts w:ascii="Arial" w:hAnsi="Arial" w:cs="Arial"/>
                <w:b/>
                <w:bCs/>
                <w:iCs/>
                <w:lang w:val="pl-PL"/>
              </w:rPr>
              <w:t xml:space="preserve">w </w:t>
            </w:r>
            <w:r w:rsidRPr="00064D2A">
              <w:rPr>
                <w:rFonts w:ascii="Arial" w:hAnsi="Arial" w:cs="Arial"/>
                <w:b/>
                <w:bCs/>
                <w:iCs/>
                <w:lang w:val="pl-PL"/>
              </w:rPr>
              <w:t xml:space="preserve">odniesieniu do </w:t>
            </w:r>
            <w:r w:rsidRPr="002A65F2">
              <w:rPr>
                <w:rFonts w:ascii="Arial" w:hAnsi="Arial" w:cs="Arial"/>
                <w:b/>
                <w:bCs/>
                <w:iCs/>
                <w:lang w:val="pl-PL"/>
              </w:rPr>
              <w:t>art. 9 ust. 7a i 7b ustawy</w:t>
            </w:r>
            <w:r w:rsidRPr="00064D2A">
              <w:rPr>
                <w:rFonts w:ascii="Arial" w:hAnsi="Arial" w:cs="Arial"/>
                <w:b/>
                <w:bCs/>
                <w:iCs/>
                <w:lang w:val="pl-PL"/>
              </w:rPr>
              <w:t xml:space="preserve"> o obrocie</w:t>
            </w:r>
          </w:p>
        </w:tc>
        <w:tc>
          <w:tcPr>
            <w:tcW w:w="3793" w:type="dxa"/>
          </w:tcPr>
          <w:p w14:paraId="33809625" w14:textId="77777777" w:rsidR="00582F29" w:rsidRPr="002A65F2" w:rsidRDefault="00582F29" w:rsidP="00582F29">
            <w:pPr>
              <w:jc w:val="both"/>
              <w:rPr>
                <w:rFonts w:ascii="Arial" w:hAnsi="Arial" w:cs="Arial"/>
                <w:iCs/>
                <w:lang w:val="pl-PL"/>
              </w:rPr>
            </w:pPr>
            <w:r w:rsidRPr="002A65F2">
              <w:rPr>
                <w:rFonts w:ascii="Arial" w:hAnsi="Arial" w:cs="Arial"/>
                <w:iCs/>
                <w:lang w:val="pl-PL"/>
              </w:rPr>
              <w:t>Projektowany przepis art. 9 ust. 7a i 7b reguluje sposób wnioskowania o zezwolenie na</w:t>
            </w:r>
          </w:p>
          <w:p w14:paraId="670CD8F0" w14:textId="77777777" w:rsidR="00582F29" w:rsidRPr="002A65F2" w:rsidRDefault="00582F29" w:rsidP="00582F29">
            <w:pPr>
              <w:jc w:val="both"/>
              <w:rPr>
                <w:rFonts w:ascii="Arial" w:hAnsi="Arial" w:cs="Arial"/>
                <w:iCs/>
                <w:lang w:val="pl-PL"/>
              </w:rPr>
            </w:pPr>
            <w:r w:rsidRPr="002A65F2">
              <w:rPr>
                <w:rFonts w:ascii="Arial" w:hAnsi="Arial" w:cs="Arial"/>
                <w:iCs/>
                <w:lang w:val="pl-PL"/>
              </w:rPr>
              <w:t>obrót towarami o znaczeniu strategicznym: w postaci papierowej lub za pośrednictwem</w:t>
            </w:r>
          </w:p>
          <w:p w14:paraId="72EB64AC" w14:textId="77777777" w:rsidR="00582F29" w:rsidRPr="002A65F2" w:rsidRDefault="00582F29" w:rsidP="00582F29">
            <w:pPr>
              <w:jc w:val="both"/>
              <w:rPr>
                <w:rFonts w:ascii="Arial" w:hAnsi="Arial" w:cs="Arial"/>
                <w:iCs/>
                <w:lang w:val="pl-PL"/>
              </w:rPr>
            </w:pPr>
            <w:r w:rsidRPr="002A65F2">
              <w:rPr>
                <w:rFonts w:ascii="Arial" w:hAnsi="Arial" w:cs="Arial"/>
                <w:iCs/>
                <w:lang w:val="pl-PL"/>
              </w:rPr>
              <w:t>ePUAP (zgodnie z ust. 7a) oraz za pośrednictwem Punktu Informacji dla Przedsiębiorcy</w:t>
            </w:r>
          </w:p>
          <w:p w14:paraId="4B82137E" w14:textId="77777777" w:rsidR="00582F29" w:rsidRPr="002A65F2" w:rsidRDefault="00582F29" w:rsidP="00582F29">
            <w:pPr>
              <w:jc w:val="both"/>
              <w:rPr>
                <w:rFonts w:ascii="Arial" w:hAnsi="Arial" w:cs="Arial"/>
                <w:iCs/>
                <w:lang w:val="pl-PL"/>
              </w:rPr>
            </w:pPr>
            <w:r w:rsidRPr="002A65F2">
              <w:rPr>
                <w:rFonts w:ascii="Arial" w:hAnsi="Arial" w:cs="Arial"/>
                <w:iCs/>
                <w:lang w:val="pl-PL"/>
              </w:rPr>
              <w:t>(zgodnie z ust. 7b). Z przepisów nie wynika jednak jasno, czy wniosek o to samo</w:t>
            </w:r>
          </w:p>
          <w:p w14:paraId="5832B019" w14:textId="77777777" w:rsidR="00582F29" w:rsidRPr="002A65F2" w:rsidRDefault="00582F29" w:rsidP="00582F29">
            <w:pPr>
              <w:jc w:val="both"/>
              <w:rPr>
                <w:rFonts w:ascii="Arial" w:hAnsi="Arial" w:cs="Arial"/>
                <w:iCs/>
                <w:lang w:val="pl-PL"/>
              </w:rPr>
            </w:pPr>
            <w:r w:rsidRPr="002A65F2">
              <w:rPr>
                <w:rFonts w:ascii="Arial" w:hAnsi="Arial" w:cs="Arial"/>
                <w:iCs/>
                <w:lang w:val="pl-PL"/>
              </w:rPr>
              <w:t>zezwolenie musi być równocześnie złożony zgodnie z przepisami ust. 7a oraz 7b, czy też</w:t>
            </w:r>
          </w:p>
          <w:p w14:paraId="2B9A9B6E" w14:textId="77777777" w:rsidR="00582F29" w:rsidRPr="002A65F2" w:rsidRDefault="00582F29" w:rsidP="00582F29">
            <w:pPr>
              <w:jc w:val="both"/>
              <w:rPr>
                <w:rFonts w:ascii="Arial" w:hAnsi="Arial" w:cs="Arial"/>
                <w:iCs/>
                <w:lang w:val="pl-PL"/>
              </w:rPr>
            </w:pPr>
            <w:r w:rsidRPr="002A65F2">
              <w:rPr>
                <w:rFonts w:ascii="Arial" w:hAnsi="Arial" w:cs="Arial"/>
                <w:iCs/>
                <w:lang w:val="pl-PL"/>
              </w:rPr>
              <w:t>może być złożony albo zgodnie z przepisem ust. 7a, albo z przepisem ust. 7b lub też w</w:t>
            </w:r>
          </w:p>
          <w:p w14:paraId="65499776" w14:textId="77777777" w:rsidR="00582F29" w:rsidRPr="002A65F2" w:rsidRDefault="00582F29" w:rsidP="00582F29">
            <w:pPr>
              <w:jc w:val="both"/>
              <w:rPr>
                <w:rFonts w:ascii="Arial" w:hAnsi="Arial" w:cs="Arial"/>
                <w:iCs/>
                <w:lang w:val="pl-PL"/>
              </w:rPr>
            </w:pPr>
            <w:r w:rsidRPr="002A65F2">
              <w:rPr>
                <w:rFonts w:ascii="Arial" w:hAnsi="Arial" w:cs="Arial"/>
                <w:iCs/>
                <w:lang w:val="pl-PL"/>
              </w:rPr>
              <w:t>jakich przypadkach może być wybrana droga wnioskowania zgodnie ust. 7a, a w jakich</w:t>
            </w:r>
          </w:p>
          <w:p w14:paraId="5344752A" w14:textId="77777777" w:rsidR="00582F29" w:rsidRPr="002A65F2" w:rsidRDefault="00582F29" w:rsidP="00582F29">
            <w:pPr>
              <w:jc w:val="both"/>
              <w:rPr>
                <w:rFonts w:ascii="Arial" w:hAnsi="Arial" w:cs="Arial"/>
                <w:iCs/>
                <w:lang w:val="pl-PL"/>
              </w:rPr>
            </w:pPr>
            <w:r w:rsidRPr="002A65F2">
              <w:rPr>
                <w:rFonts w:ascii="Arial" w:hAnsi="Arial" w:cs="Arial"/>
                <w:iCs/>
                <w:lang w:val="pl-PL"/>
              </w:rPr>
              <w:t>zgodnie z ust. 7b.</w:t>
            </w:r>
          </w:p>
          <w:p w14:paraId="30DC495D" w14:textId="77777777" w:rsidR="00721ECD" w:rsidRPr="00064D2A" w:rsidRDefault="00721ECD" w:rsidP="003E300A">
            <w:pPr>
              <w:autoSpaceDE w:val="0"/>
              <w:autoSpaceDN w:val="0"/>
              <w:adjustRightInd w:val="0"/>
              <w:spacing w:line="300" w:lineRule="auto"/>
              <w:jc w:val="both"/>
              <w:rPr>
                <w:rFonts w:ascii="Arial" w:hAnsi="Arial" w:cs="Arial"/>
                <w:b/>
                <w:bCs/>
                <w:lang w:val="pl-PL"/>
              </w:rPr>
            </w:pPr>
          </w:p>
        </w:tc>
        <w:tc>
          <w:tcPr>
            <w:tcW w:w="2693" w:type="dxa"/>
          </w:tcPr>
          <w:p w14:paraId="7CDB15D9" w14:textId="77777777" w:rsidR="00582F29" w:rsidRPr="002A65F2" w:rsidRDefault="00582F29" w:rsidP="00582F29">
            <w:pPr>
              <w:jc w:val="both"/>
              <w:rPr>
                <w:rFonts w:ascii="Arial" w:hAnsi="Arial" w:cs="Arial"/>
                <w:iCs/>
                <w:lang w:val="pl-PL"/>
              </w:rPr>
            </w:pPr>
            <w:r w:rsidRPr="002A65F2">
              <w:rPr>
                <w:rFonts w:ascii="Arial" w:hAnsi="Arial" w:cs="Arial"/>
                <w:iCs/>
                <w:lang w:val="pl-PL"/>
              </w:rPr>
              <w:t>Zwracam także uwagę, że w art. 7a i art. 26 ust. 1 ePUAP należy zastąpić eDoręczeniami,</w:t>
            </w:r>
          </w:p>
          <w:p w14:paraId="7BE22428" w14:textId="77777777" w:rsidR="00582F29" w:rsidRPr="002A65F2" w:rsidRDefault="00582F29" w:rsidP="00582F29">
            <w:pPr>
              <w:jc w:val="both"/>
              <w:rPr>
                <w:rFonts w:ascii="Arial" w:hAnsi="Arial" w:cs="Arial"/>
                <w:iCs/>
                <w:lang w:val="pl-PL"/>
              </w:rPr>
            </w:pPr>
            <w:r w:rsidRPr="002A65F2">
              <w:rPr>
                <w:rFonts w:ascii="Arial" w:hAnsi="Arial" w:cs="Arial"/>
                <w:iCs/>
                <w:lang w:val="pl-PL"/>
              </w:rPr>
              <w:t>to jest należy zastąpić wyrazy: „za pośrednictwem elektronicznej platformy usług</w:t>
            </w:r>
          </w:p>
          <w:p w14:paraId="2D921C53" w14:textId="77777777" w:rsidR="00582F29" w:rsidRPr="002A65F2" w:rsidRDefault="00582F29" w:rsidP="00582F29">
            <w:pPr>
              <w:jc w:val="both"/>
              <w:rPr>
                <w:rFonts w:ascii="Arial" w:hAnsi="Arial" w:cs="Arial"/>
                <w:iCs/>
                <w:lang w:val="pl-PL"/>
              </w:rPr>
            </w:pPr>
            <w:r w:rsidRPr="002A65F2">
              <w:rPr>
                <w:rFonts w:ascii="Arial" w:hAnsi="Arial" w:cs="Arial"/>
                <w:iCs/>
                <w:lang w:val="pl-PL"/>
              </w:rPr>
              <w:t>administracji publicznej, zwanej dalej „ePUAP”, o której mowa w ustawie z dnia 17 lutego</w:t>
            </w:r>
          </w:p>
          <w:p w14:paraId="5955777D" w14:textId="77777777" w:rsidR="00582F29" w:rsidRPr="002A65F2" w:rsidRDefault="00582F29" w:rsidP="00582F29">
            <w:pPr>
              <w:jc w:val="both"/>
              <w:rPr>
                <w:rFonts w:ascii="Arial" w:hAnsi="Arial" w:cs="Arial"/>
                <w:iCs/>
                <w:lang w:val="pl-PL"/>
              </w:rPr>
            </w:pPr>
            <w:r w:rsidRPr="002A65F2">
              <w:rPr>
                <w:rFonts w:ascii="Arial" w:hAnsi="Arial" w:cs="Arial"/>
                <w:iCs/>
                <w:lang w:val="pl-PL"/>
              </w:rPr>
              <w:t>2005 r. o informatyzacji działalności podmiotów realizujących zadania publiczne (Dz. U. z</w:t>
            </w:r>
          </w:p>
          <w:p w14:paraId="3ED5E05C" w14:textId="77777777" w:rsidR="00582F29" w:rsidRPr="002A65F2" w:rsidRDefault="00582F29" w:rsidP="00582F29">
            <w:pPr>
              <w:jc w:val="both"/>
              <w:rPr>
                <w:rFonts w:ascii="Arial" w:hAnsi="Arial" w:cs="Arial"/>
                <w:iCs/>
                <w:lang w:val="pl-PL"/>
              </w:rPr>
            </w:pPr>
            <w:r w:rsidRPr="002A65F2">
              <w:rPr>
                <w:rFonts w:ascii="Arial" w:hAnsi="Arial" w:cs="Arial"/>
                <w:iCs/>
                <w:lang w:val="pl-PL"/>
              </w:rPr>
              <w:t>2024 r. poz. 307 i 1222)” wyrazami: „na adres do doręczeń elektronicznych, o którym</w:t>
            </w:r>
          </w:p>
          <w:p w14:paraId="2E0CFD1E" w14:textId="77777777" w:rsidR="00582F29" w:rsidRPr="002A65F2" w:rsidRDefault="00582F29" w:rsidP="00582F29">
            <w:pPr>
              <w:jc w:val="both"/>
              <w:rPr>
                <w:rFonts w:ascii="Arial" w:hAnsi="Arial" w:cs="Arial"/>
                <w:iCs/>
                <w:lang w:val="pl-PL"/>
              </w:rPr>
            </w:pPr>
            <w:r w:rsidRPr="002A65F2">
              <w:rPr>
                <w:rFonts w:ascii="Arial" w:hAnsi="Arial" w:cs="Arial"/>
                <w:iCs/>
                <w:lang w:val="pl-PL"/>
              </w:rPr>
              <w:t>mowa w art. 2 pkt 1 ustawy z dnia 18 listopada 2020 r. o doręczeniach elektronicznych</w:t>
            </w:r>
          </w:p>
          <w:p w14:paraId="43573D9E" w14:textId="77777777" w:rsidR="00582F29" w:rsidRPr="002A65F2" w:rsidRDefault="00582F29" w:rsidP="00582F29">
            <w:pPr>
              <w:jc w:val="both"/>
              <w:rPr>
                <w:rFonts w:ascii="Arial" w:hAnsi="Arial" w:cs="Arial"/>
                <w:iCs/>
                <w:lang w:val="pl-PL"/>
              </w:rPr>
            </w:pPr>
            <w:r w:rsidRPr="002A65F2">
              <w:rPr>
                <w:rFonts w:ascii="Arial" w:hAnsi="Arial" w:cs="Arial"/>
                <w:iCs/>
                <w:lang w:val="pl-PL"/>
              </w:rPr>
              <w:t>(Dz. U. z 2024 r. poz. 1045)”. W ten sposób wskazuje się na priorytetowość doręczeń</w:t>
            </w:r>
          </w:p>
          <w:p w14:paraId="04E3A873" w14:textId="77777777" w:rsidR="00582F29" w:rsidRPr="00064D2A" w:rsidRDefault="00582F29" w:rsidP="00582F29">
            <w:pPr>
              <w:jc w:val="both"/>
              <w:rPr>
                <w:rFonts w:ascii="Arial" w:hAnsi="Arial" w:cs="Arial"/>
                <w:iCs/>
                <w:lang w:val="pl-PL"/>
              </w:rPr>
            </w:pPr>
            <w:r w:rsidRPr="00064D2A">
              <w:rPr>
                <w:rFonts w:ascii="Arial" w:hAnsi="Arial" w:cs="Arial"/>
                <w:iCs/>
                <w:lang w:val="pl-PL"/>
              </w:rPr>
              <w:t>elektronicznych jako kanału komunikacji.</w:t>
            </w:r>
          </w:p>
          <w:p w14:paraId="0DF75140" w14:textId="77777777" w:rsidR="00721ECD" w:rsidRPr="00064D2A" w:rsidRDefault="00721ECD" w:rsidP="003E300A">
            <w:pPr>
              <w:autoSpaceDE w:val="0"/>
              <w:autoSpaceDN w:val="0"/>
              <w:adjustRightInd w:val="0"/>
              <w:spacing w:line="300" w:lineRule="auto"/>
              <w:jc w:val="both"/>
              <w:rPr>
                <w:rFonts w:ascii="Arial" w:hAnsi="Arial" w:cs="Arial"/>
                <w:b/>
                <w:bCs/>
                <w:lang w:val="pl-PL"/>
              </w:rPr>
            </w:pPr>
          </w:p>
        </w:tc>
        <w:tc>
          <w:tcPr>
            <w:tcW w:w="4111" w:type="dxa"/>
          </w:tcPr>
          <w:p w14:paraId="47FE4911" w14:textId="77777777" w:rsidR="00721ECD" w:rsidRPr="00064D2A" w:rsidRDefault="00EA021D" w:rsidP="003E300A">
            <w:pPr>
              <w:autoSpaceDE w:val="0"/>
              <w:autoSpaceDN w:val="0"/>
              <w:adjustRightInd w:val="0"/>
              <w:jc w:val="both"/>
              <w:rPr>
                <w:rFonts w:ascii="Arial" w:hAnsi="Arial" w:cs="Arial"/>
                <w:b/>
                <w:bCs/>
                <w:lang w:val="pl-PL"/>
              </w:rPr>
            </w:pPr>
            <w:r w:rsidRPr="00064D2A">
              <w:rPr>
                <w:rFonts w:ascii="Arial" w:hAnsi="Arial" w:cs="Arial"/>
                <w:b/>
                <w:bCs/>
                <w:lang w:val="pl-PL"/>
              </w:rPr>
              <w:t>Uwaga uwzględniona-</w:t>
            </w:r>
          </w:p>
          <w:p w14:paraId="74A8CF5A" w14:textId="77777777" w:rsidR="00EA021D" w:rsidRPr="00064D2A" w:rsidRDefault="00EA021D" w:rsidP="003E300A">
            <w:pPr>
              <w:autoSpaceDE w:val="0"/>
              <w:autoSpaceDN w:val="0"/>
              <w:adjustRightInd w:val="0"/>
              <w:jc w:val="both"/>
              <w:rPr>
                <w:rFonts w:ascii="Arial" w:hAnsi="Arial" w:cs="Arial"/>
                <w:b/>
                <w:bCs/>
                <w:lang w:val="pl-PL"/>
              </w:rPr>
            </w:pPr>
          </w:p>
          <w:p w14:paraId="3F0DE2AC" w14:textId="79214AA7" w:rsidR="00EA021D" w:rsidRPr="00064D2A" w:rsidRDefault="00EA021D" w:rsidP="003E300A">
            <w:pPr>
              <w:autoSpaceDE w:val="0"/>
              <w:autoSpaceDN w:val="0"/>
              <w:adjustRightInd w:val="0"/>
              <w:jc w:val="both"/>
              <w:rPr>
                <w:rFonts w:ascii="Arial" w:hAnsi="Arial" w:cs="Arial"/>
                <w:lang w:val="pl-PL"/>
              </w:rPr>
            </w:pPr>
            <w:r w:rsidRPr="00064D2A">
              <w:rPr>
                <w:rFonts w:ascii="Arial" w:hAnsi="Arial" w:cs="Arial"/>
                <w:lang w:val="pl-PL"/>
              </w:rPr>
              <w:t>dokonano zmiany wskazanych przepisów zgodnie z wytycznymi MC</w:t>
            </w:r>
          </w:p>
        </w:tc>
      </w:tr>
      <w:tr w:rsidR="00721ECD" w:rsidRPr="00064D2A" w14:paraId="07B2CE74" w14:textId="77777777" w:rsidTr="00064D2A">
        <w:tc>
          <w:tcPr>
            <w:tcW w:w="562" w:type="dxa"/>
          </w:tcPr>
          <w:p w14:paraId="13DB513E" w14:textId="029A8925" w:rsidR="00721ECD" w:rsidRPr="00064D2A" w:rsidRDefault="00721ECD" w:rsidP="003E300A">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23.</w:t>
            </w:r>
          </w:p>
        </w:tc>
        <w:tc>
          <w:tcPr>
            <w:tcW w:w="1333" w:type="dxa"/>
          </w:tcPr>
          <w:p w14:paraId="5FC864DA" w14:textId="30499A5E" w:rsidR="00721ECD" w:rsidRPr="00064D2A" w:rsidRDefault="005D59C6" w:rsidP="003E300A">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MC</w:t>
            </w:r>
          </w:p>
        </w:tc>
        <w:tc>
          <w:tcPr>
            <w:tcW w:w="1395" w:type="dxa"/>
          </w:tcPr>
          <w:p w14:paraId="25D1FB47" w14:textId="0E932BCD" w:rsidR="00721ECD" w:rsidRPr="00064D2A" w:rsidRDefault="005D59C6" w:rsidP="005D59C6">
            <w:pPr>
              <w:autoSpaceDE w:val="0"/>
              <w:autoSpaceDN w:val="0"/>
              <w:adjustRightInd w:val="0"/>
              <w:jc w:val="both"/>
              <w:rPr>
                <w:rFonts w:ascii="Arial" w:hAnsi="Arial" w:cs="Arial"/>
                <w:b/>
                <w:bCs/>
                <w:lang w:val="pl-PL"/>
              </w:rPr>
            </w:pPr>
            <w:r w:rsidRPr="00064D2A">
              <w:rPr>
                <w:rFonts w:ascii="Arial" w:hAnsi="Arial" w:cs="Arial"/>
                <w:b/>
                <w:bCs/>
                <w:iCs/>
                <w:lang w:val="pl-PL"/>
              </w:rPr>
              <w:t>A</w:t>
            </w:r>
            <w:r w:rsidRPr="002A65F2">
              <w:rPr>
                <w:rFonts w:ascii="Arial" w:hAnsi="Arial" w:cs="Arial"/>
                <w:b/>
                <w:bCs/>
                <w:iCs/>
                <w:lang w:val="pl-PL"/>
              </w:rPr>
              <w:t>rt. 1 pkt 16 projektu</w:t>
            </w:r>
            <w:r w:rsidRPr="00064D2A">
              <w:rPr>
                <w:rFonts w:ascii="Arial" w:hAnsi="Arial" w:cs="Arial"/>
                <w:b/>
                <w:bCs/>
                <w:iCs/>
                <w:lang w:val="pl-PL"/>
              </w:rPr>
              <w:t xml:space="preserve"> -</w:t>
            </w:r>
            <w:r w:rsidRPr="002A65F2">
              <w:rPr>
                <w:rFonts w:ascii="Arial" w:hAnsi="Arial" w:cs="Arial"/>
                <w:b/>
                <w:bCs/>
                <w:iCs/>
                <w:lang w:val="pl-PL"/>
              </w:rPr>
              <w:t xml:space="preserve"> w </w:t>
            </w:r>
            <w:r w:rsidRPr="00064D2A">
              <w:rPr>
                <w:rFonts w:ascii="Arial" w:hAnsi="Arial" w:cs="Arial"/>
                <w:b/>
                <w:bCs/>
                <w:iCs/>
                <w:lang w:val="pl-PL"/>
              </w:rPr>
              <w:t xml:space="preserve">odniesieniu do </w:t>
            </w:r>
            <w:r w:rsidRPr="002A65F2">
              <w:rPr>
                <w:rFonts w:ascii="Arial" w:hAnsi="Arial" w:cs="Arial"/>
                <w:b/>
                <w:bCs/>
                <w:iCs/>
                <w:lang w:val="pl-PL"/>
              </w:rPr>
              <w:t xml:space="preserve"> art. 27d</w:t>
            </w:r>
            <w:r w:rsidRPr="00064D2A">
              <w:rPr>
                <w:rFonts w:ascii="Arial" w:hAnsi="Arial" w:cs="Arial"/>
                <w:b/>
                <w:bCs/>
                <w:iCs/>
                <w:lang w:val="pl-PL"/>
              </w:rPr>
              <w:t xml:space="preserve"> </w:t>
            </w:r>
            <w:r w:rsidRPr="00064D2A">
              <w:rPr>
                <w:rFonts w:ascii="Arial" w:hAnsi="Arial" w:cs="Arial"/>
                <w:b/>
                <w:bCs/>
                <w:iCs/>
                <w:lang w:val="pl-PL"/>
              </w:rPr>
              <w:lastRenderedPageBreak/>
              <w:t>ustawy o obrocie</w:t>
            </w:r>
          </w:p>
        </w:tc>
        <w:tc>
          <w:tcPr>
            <w:tcW w:w="3793" w:type="dxa"/>
          </w:tcPr>
          <w:p w14:paraId="3823CE59" w14:textId="77777777" w:rsidR="00582F29" w:rsidRPr="002A65F2" w:rsidRDefault="00582F29" w:rsidP="00582F29">
            <w:pPr>
              <w:jc w:val="both"/>
              <w:rPr>
                <w:rFonts w:ascii="Arial" w:hAnsi="Arial" w:cs="Arial"/>
                <w:iCs/>
                <w:lang w:val="pl-PL"/>
              </w:rPr>
            </w:pPr>
            <w:r w:rsidRPr="002A65F2">
              <w:rPr>
                <w:rFonts w:ascii="Arial" w:hAnsi="Arial" w:cs="Arial"/>
                <w:iCs/>
                <w:lang w:val="pl-PL"/>
              </w:rPr>
              <w:lastRenderedPageBreak/>
              <w:t>Należy dodać konkretny i uzasadniony prawnie cel przetwarzania danych osobowych dla</w:t>
            </w:r>
          </w:p>
          <w:p w14:paraId="50AFFC94" w14:textId="77777777" w:rsidR="00582F29" w:rsidRPr="00064D2A" w:rsidRDefault="00582F29" w:rsidP="00582F29">
            <w:pPr>
              <w:jc w:val="both"/>
              <w:rPr>
                <w:rFonts w:ascii="Arial" w:hAnsi="Arial" w:cs="Arial"/>
                <w:iCs/>
                <w:lang w:val="pl-PL"/>
              </w:rPr>
            </w:pPr>
            <w:r w:rsidRPr="00064D2A">
              <w:rPr>
                <w:rFonts w:ascii="Arial" w:hAnsi="Arial" w:cs="Arial"/>
                <w:iCs/>
                <w:lang w:val="pl-PL"/>
              </w:rPr>
              <w:t>tego rejestru.</w:t>
            </w:r>
          </w:p>
          <w:p w14:paraId="0A79A837" w14:textId="77777777" w:rsidR="00582F29" w:rsidRPr="002A65F2" w:rsidRDefault="00582F29" w:rsidP="00582F29">
            <w:pPr>
              <w:jc w:val="both"/>
              <w:rPr>
                <w:rFonts w:ascii="Arial" w:hAnsi="Arial" w:cs="Arial"/>
                <w:iCs/>
                <w:lang w:val="pl-PL"/>
              </w:rPr>
            </w:pPr>
            <w:r w:rsidRPr="002A65F2">
              <w:rPr>
                <w:rFonts w:ascii="Arial" w:hAnsi="Arial" w:cs="Arial"/>
                <w:iCs/>
                <w:lang w:val="pl-PL"/>
              </w:rPr>
              <w:lastRenderedPageBreak/>
              <w:t>Projektowany art. 27d ust. 4 ustanawia nieusuwalność danych osobowych</w:t>
            </w:r>
          </w:p>
          <w:p w14:paraId="7836EF6A" w14:textId="77777777" w:rsidR="00582F29" w:rsidRPr="002A65F2" w:rsidRDefault="00582F29" w:rsidP="00582F29">
            <w:pPr>
              <w:jc w:val="both"/>
              <w:rPr>
                <w:rFonts w:ascii="Arial" w:hAnsi="Arial" w:cs="Arial"/>
                <w:iCs/>
                <w:lang w:val="pl-PL"/>
              </w:rPr>
            </w:pPr>
            <w:r w:rsidRPr="002A65F2">
              <w:rPr>
                <w:rFonts w:ascii="Arial" w:hAnsi="Arial" w:cs="Arial"/>
                <w:iCs/>
                <w:lang w:val="pl-PL"/>
              </w:rPr>
              <w:t>przetwarzanych w rejestrze.</w:t>
            </w:r>
          </w:p>
          <w:p w14:paraId="6E8BA081" w14:textId="77777777" w:rsidR="00582F29" w:rsidRPr="002A65F2" w:rsidRDefault="00582F29" w:rsidP="00582F29">
            <w:pPr>
              <w:jc w:val="both"/>
              <w:rPr>
                <w:rFonts w:ascii="Arial" w:hAnsi="Arial" w:cs="Arial"/>
                <w:iCs/>
                <w:lang w:val="pl-PL"/>
              </w:rPr>
            </w:pPr>
            <w:r w:rsidRPr="002A65F2">
              <w:rPr>
                <w:rFonts w:ascii="Arial" w:hAnsi="Arial" w:cs="Arial"/>
                <w:iCs/>
                <w:lang w:val="pl-PL"/>
              </w:rPr>
              <w:t>Projektodawca w art. 1 pkt 10 uchyla dotychczasowy art. 21 ustawy, który regulował</w:t>
            </w:r>
          </w:p>
          <w:p w14:paraId="7D995D63" w14:textId="77777777" w:rsidR="00582F29" w:rsidRPr="002A65F2" w:rsidRDefault="00582F29" w:rsidP="00582F29">
            <w:pPr>
              <w:jc w:val="both"/>
              <w:rPr>
                <w:rFonts w:ascii="Arial" w:hAnsi="Arial" w:cs="Arial"/>
                <w:iCs/>
                <w:lang w:val="pl-PL"/>
              </w:rPr>
            </w:pPr>
            <w:r w:rsidRPr="002A65F2">
              <w:rPr>
                <w:rFonts w:ascii="Arial" w:hAnsi="Arial" w:cs="Arial"/>
                <w:iCs/>
                <w:lang w:val="pl-PL"/>
              </w:rPr>
              <w:t>zasady prowadzenia dotychczasowego rejestru udzielanych zezwoleń, przed wejściem</w:t>
            </w:r>
          </w:p>
          <w:p w14:paraId="7FA087C9" w14:textId="77777777" w:rsidR="00582F29" w:rsidRPr="002A65F2" w:rsidRDefault="00582F29" w:rsidP="00582F29">
            <w:pPr>
              <w:jc w:val="both"/>
              <w:rPr>
                <w:rFonts w:ascii="Arial" w:hAnsi="Arial" w:cs="Arial"/>
                <w:iCs/>
                <w:lang w:val="pl-PL"/>
              </w:rPr>
            </w:pPr>
            <w:r w:rsidRPr="002A65F2">
              <w:rPr>
                <w:rFonts w:ascii="Arial" w:hAnsi="Arial" w:cs="Arial"/>
                <w:iCs/>
                <w:lang w:val="pl-PL"/>
              </w:rPr>
              <w:t>w życie RODO, i w zamian proponuje dodać art. 27d-27g w tym przedmiocie.</w:t>
            </w:r>
          </w:p>
          <w:p w14:paraId="4C862EB8" w14:textId="77777777" w:rsidR="00582F29" w:rsidRPr="002A65F2" w:rsidRDefault="00582F29" w:rsidP="00582F29">
            <w:pPr>
              <w:jc w:val="both"/>
              <w:rPr>
                <w:rFonts w:ascii="Arial" w:hAnsi="Arial" w:cs="Arial"/>
                <w:iCs/>
                <w:lang w:val="pl-PL"/>
              </w:rPr>
            </w:pPr>
            <w:r w:rsidRPr="002A65F2">
              <w:rPr>
                <w:rFonts w:ascii="Arial" w:hAnsi="Arial" w:cs="Arial"/>
                <w:iCs/>
                <w:lang w:val="pl-PL"/>
              </w:rPr>
              <w:t>Stosownie do art. 6 ust. 3 RODO jeżeli podstawa prawna do przetwarzania danych</w:t>
            </w:r>
          </w:p>
          <w:p w14:paraId="52BB16B2" w14:textId="77777777" w:rsidR="00582F29" w:rsidRPr="002A65F2" w:rsidRDefault="00582F29" w:rsidP="00582F29">
            <w:pPr>
              <w:jc w:val="both"/>
              <w:rPr>
                <w:rFonts w:ascii="Arial" w:hAnsi="Arial" w:cs="Arial"/>
                <w:iCs/>
                <w:lang w:val="pl-PL"/>
              </w:rPr>
            </w:pPr>
            <w:r w:rsidRPr="002A65F2">
              <w:rPr>
                <w:rFonts w:ascii="Arial" w:hAnsi="Arial" w:cs="Arial"/>
                <w:iCs/>
                <w:lang w:val="pl-PL"/>
              </w:rPr>
              <w:t>osobowych jest oparta na przepisie prawa, to w tych samych przepisach prawa należy</w:t>
            </w:r>
          </w:p>
          <w:p w14:paraId="6E6279F0" w14:textId="77777777" w:rsidR="00582F29" w:rsidRPr="002A65F2" w:rsidRDefault="00582F29" w:rsidP="00582F29">
            <w:pPr>
              <w:jc w:val="both"/>
              <w:rPr>
                <w:rFonts w:ascii="Arial" w:hAnsi="Arial" w:cs="Arial"/>
                <w:iCs/>
                <w:lang w:val="pl-PL"/>
              </w:rPr>
            </w:pPr>
            <w:r w:rsidRPr="002A65F2">
              <w:rPr>
                <w:rFonts w:ascii="Arial" w:hAnsi="Arial" w:cs="Arial"/>
                <w:iCs/>
                <w:lang w:val="pl-PL"/>
              </w:rPr>
              <w:t>określić cel tego przetwarzania. Zgodnie zaś zasadą ograniczenia celu (art. 5 ust. 1 lit. b</w:t>
            </w:r>
          </w:p>
          <w:p w14:paraId="52ECCCC5" w14:textId="77777777" w:rsidR="00582F29" w:rsidRPr="002A65F2" w:rsidRDefault="00582F29" w:rsidP="00582F29">
            <w:pPr>
              <w:jc w:val="both"/>
              <w:rPr>
                <w:rFonts w:ascii="Arial" w:hAnsi="Arial" w:cs="Arial"/>
                <w:iCs/>
                <w:lang w:val="pl-PL"/>
              </w:rPr>
            </w:pPr>
            <w:r w:rsidRPr="002A65F2">
              <w:rPr>
                <w:rFonts w:ascii="Arial" w:hAnsi="Arial" w:cs="Arial"/>
                <w:iCs/>
                <w:lang w:val="pl-PL"/>
              </w:rPr>
              <w:t>RODO) cel przetwarzania musi być konkretny, wyraźny i prawnie uzasadniony.</w:t>
            </w:r>
          </w:p>
          <w:p w14:paraId="617880A6" w14:textId="77777777" w:rsidR="00582F29" w:rsidRPr="002A65F2" w:rsidRDefault="00582F29" w:rsidP="00582F29">
            <w:pPr>
              <w:jc w:val="both"/>
              <w:rPr>
                <w:rFonts w:ascii="Arial" w:hAnsi="Arial" w:cs="Arial"/>
                <w:iCs/>
                <w:lang w:val="pl-PL"/>
              </w:rPr>
            </w:pPr>
            <w:r w:rsidRPr="002A65F2">
              <w:rPr>
                <w:rFonts w:ascii="Arial" w:hAnsi="Arial" w:cs="Arial"/>
                <w:iCs/>
                <w:lang w:val="pl-PL"/>
              </w:rPr>
              <w:t>W projekcie tworzy się rejestr bez określenia dla niego konkretnego i uzasadnionego celu,</w:t>
            </w:r>
          </w:p>
          <w:p w14:paraId="66EC4D66" w14:textId="77777777" w:rsidR="00582F29" w:rsidRPr="002A65F2" w:rsidRDefault="00582F29" w:rsidP="00582F29">
            <w:pPr>
              <w:jc w:val="both"/>
              <w:rPr>
                <w:rFonts w:ascii="Arial" w:hAnsi="Arial" w:cs="Arial"/>
                <w:iCs/>
                <w:lang w:val="pl-PL"/>
              </w:rPr>
            </w:pPr>
            <w:r w:rsidRPr="002A65F2">
              <w:rPr>
                <w:rFonts w:ascii="Arial" w:hAnsi="Arial" w:cs="Arial"/>
                <w:iCs/>
                <w:lang w:val="pl-PL"/>
              </w:rPr>
              <w:t>dla którego się go ustanawia. Dodatkowo ustanawia się w projekcie nieusuwalność danych</w:t>
            </w:r>
          </w:p>
          <w:p w14:paraId="12622DE1" w14:textId="77777777" w:rsidR="00582F29" w:rsidRPr="002A65F2" w:rsidRDefault="00582F29" w:rsidP="00582F29">
            <w:pPr>
              <w:jc w:val="both"/>
              <w:rPr>
                <w:rFonts w:ascii="Arial" w:hAnsi="Arial" w:cs="Arial"/>
                <w:iCs/>
                <w:lang w:val="pl-PL"/>
              </w:rPr>
            </w:pPr>
            <w:r w:rsidRPr="002A65F2">
              <w:rPr>
                <w:rFonts w:ascii="Arial" w:hAnsi="Arial" w:cs="Arial"/>
                <w:iCs/>
                <w:lang w:val="pl-PL"/>
              </w:rPr>
              <w:t>osobowych z tego rejestru, mimo, że przechowywanie danych osobowych musi być</w:t>
            </w:r>
          </w:p>
          <w:p w14:paraId="5B86D2D3" w14:textId="77777777" w:rsidR="00582F29" w:rsidRPr="002A65F2" w:rsidRDefault="00582F29" w:rsidP="00582F29">
            <w:pPr>
              <w:jc w:val="both"/>
              <w:rPr>
                <w:rFonts w:ascii="Arial" w:hAnsi="Arial" w:cs="Arial"/>
                <w:iCs/>
                <w:lang w:val="pl-PL"/>
              </w:rPr>
            </w:pPr>
            <w:r w:rsidRPr="002A65F2">
              <w:rPr>
                <w:rFonts w:ascii="Arial" w:hAnsi="Arial" w:cs="Arial"/>
                <w:iCs/>
                <w:lang w:val="pl-PL"/>
              </w:rPr>
              <w:t>niezbędne dla celu przetwarzania, którego nie ma w projekcie ustawy.</w:t>
            </w:r>
          </w:p>
          <w:p w14:paraId="5E52CA6F" w14:textId="77777777" w:rsidR="00582F29" w:rsidRPr="002A65F2" w:rsidRDefault="00582F29" w:rsidP="00582F29">
            <w:pPr>
              <w:jc w:val="both"/>
              <w:rPr>
                <w:rFonts w:ascii="Arial" w:hAnsi="Arial" w:cs="Arial"/>
                <w:iCs/>
                <w:lang w:val="pl-PL"/>
              </w:rPr>
            </w:pPr>
            <w:r w:rsidRPr="002A65F2">
              <w:rPr>
                <w:rFonts w:ascii="Arial" w:hAnsi="Arial" w:cs="Arial"/>
                <w:iCs/>
                <w:lang w:val="pl-PL"/>
              </w:rPr>
              <w:t>Wedle art. 5 ust. 1 lit. e RODO dane osobowe muszą być przechowywane w formie</w:t>
            </w:r>
          </w:p>
          <w:p w14:paraId="292CDFBD" w14:textId="77777777" w:rsidR="00582F29" w:rsidRPr="002A65F2" w:rsidRDefault="00582F29" w:rsidP="00582F29">
            <w:pPr>
              <w:jc w:val="both"/>
              <w:rPr>
                <w:rFonts w:ascii="Arial" w:hAnsi="Arial" w:cs="Arial"/>
                <w:iCs/>
                <w:lang w:val="pl-PL"/>
              </w:rPr>
            </w:pPr>
            <w:r w:rsidRPr="002A65F2">
              <w:rPr>
                <w:rFonts w:ascii="Arial" w:hAnsi="Arial" w:cs="Arial"/>
                <w:iCs/>
                <w:lang w:val="pl-PL"/>
              </w:rPr>
              <w:t>umożliwiającej identyfikację osoby, której dane dotyczą, przez okres nie dłuższy, niż jest to</w:t>
            </w:r>
          </w:p>
          <w:p w14:paraId="39902037" w14:textId="77777777" w:rsidR="00582F29" w:rsidRPr="002A65F2" w:rsidRDefault="00582F29" w:rsidP="00582F29">
            <w:pPr>
              <w:jc w:val="both"/>
              <w:rPr>
                <w:rFonts w:ascii="Arial" w:hAnsi="Arial" w:cs="Arial"/>
                <w:iCs/>
                <w:lang w:val="pl-PL"/>
              </w:rPr>
            </w:pPr>
            <w:r w:rsidRPr="002A65F2">
              <w:rPr>
                <w:rFonts w:ascii="Arial" w:hAnsi="Arial" w:cs="Arial"/>
                <w:iCs/>
                <w:lang w:val="pl-PL"/>
              </w:rPr>
              <w:lastRenderedPageBreak/>
              <w:t>niezbędne do celów, w których dane te są przetwarzane; dane osobowe można</w:t>
            </w:r>
          </w:p>
          <w:p w14:paraId="6930AD8D" w14:textId="77777777" w:rsidR="00582F29" w:rsidRPr="002A65F2" w:rsidRDefault="00582F29" w:rsidP="00582F29">
            <w:pPr>
              <w:jc w:val="both"/>
              <w:rPr>
                <w:rFonts w:ascii="Arial" w:hAnsi="Arial" w:cs="Arial"/>
                <w:iCs/>
                <w:lang w:val="pl-PL"/>
              </w:rPr>
            </w:pPr>
            <w:r w:rsidRPr="002A65F2">
              <w:rPr>
                <w:rFonts w:ascii="Arial" w:hAnsi="Arial" w:cs="Arial"/>
                <w:iCs/>
                <w:lang w:val="pl-PL"/>
              </w:rPr>
              <w:t>przechowywać przez okres dłuższy, o ile będą one przetwarzane wyłącznie do celów</w:t>
            </w:r>
          </w:p>
          <w:p w14:paraId="0B7EF6AF" w14:textId="77777777" w:rsidR="00582F29" w:rsidRPr="002A65F2" w:rsidRDefault="00582F29" w:rsidP="00582F29">
            <w:pPr>
              <w:jc w:val="both"/>
              <w:rPr>
                <w:rFonts w:ascii="Arial" w:hAnsi="Arial" w:cs="Arial"/>
                <w:iCs/>
                <w:lang w:val="pl-PL"/>
              </w:rPr>
            </w:pPr>
            <w:r w:rsidRPr="002A65F2">
              <w:rPr>
                <w:rFonts w:ascii="Arial" w:hAnsi="Arial" w:cs="Arial"/>
                <w:iCs/>
                <w:lang w:val="pl-PL"/>
              </w:rPr>
              <w:t>archiwalnych w interesie publicznym, do celów badań naukowych lub historycznych lub do</w:t>
            </w:r>
          </w:p>
          <w:p w14:paraId="20CA3FBD" w14:textId="77777777" w:rsidR="00582F29" w:rsidRPr="002A65F2" w:rsidRDefault="00582F29" w:rsidP="00582F29">
            <w:pPr>
              <w:jc w:val="both"/>
              <w:rPr>
                <w:rFonts w:ascii="Arial" w:hAnsi="Arial" w:cs="Arial"/>
                <w:iCs/>
                <w:lang w:val="pl-PL"/>
              </w:rPr>
            </w:pPr>
            <w:r w:rsidRPr="002A65F2">
              <w:rPr>
                <w:rFonts w:ascii="Arial" w:hAnsi="Arial" w:cs="Arial"/>
                <w:iCs/>
                <w:lang w:val="pl-PL"/>
              </w:rPr>
              <w:t>celów statystycznych na mocy art. 89 ust. 1, z zastrzeżeniem że wdrożone zostaną</w:t>
            </w:r>
          </w:p>
          <w:p w14:paraId="09FBF6ED" w14:textId="77777777" w:rsidR="00582F29" w:rsidRPr="002A65F2" w:rsidRDefault="00582F29" w:rsidP="00582F29">
            <w:pPr>
              <w:jc w:val="both"/>
              <w:rPr>
                <w:rFonts w:ascii="Arial" w:hAnsi="Arial" w:cs="Arial"/>
                <w:iCs/>
                <w:lang w:val="pl-PL"/>
              </w:rPr>
            </w:pPr>
            <w:r w:rsidRPr="002A65F2">
              <w:rPr>
                <w:rFonts w:ascii="Arial" w:hAnsi="Arial" w:cs="Arial"/>
                <w:iCs/>
                <w:lang w:val="pl-PL"/>
              </w:rPr>
              <w:t>odpowiednie środki techniczne i organizacyjne wymagane na mocy niniejszego</w:t>
            </w:r>
          </w:p>
          <w:p w14:paraId="223C9D98" w14:textId="77777777" w:rsidR="00582F29" w:rsidRPr="002A65F2" w:rsidRDefault="00582F29" w:rsidP="00582F29">
            <w:pPr>
              <w:jc w:val="both"/>
              <w:rPr>
                <w:rFonts w:ascii="Arial" w:hAnsi="Arial" w:cs="Arial"/>
                <w:iCs/>
                <w:lang w:val="pl-PL"/>
              </w:rPr>
            </w:pPr>
            <w:r w:rsidRPr="002A65F2">
              <w:rPr>
                <w:rFonts w:ascii="Arial" w:hAnsi="Arial" w:cs="Arial"/>
                <w:iCs/>
                <w:lang w:val="pl-PL"/>
              </w:rPr>
              <w:t>rozporządzenia w celu ochrony praw i wolności osób, których dane dotyczą.</w:t>
            </w:r>
          </w:p>
          <w:p w14:paraId="71728FEB" w14:textId="77777777" w:rsidR="00721ECD" w:rsidRDefault="00721ECD" w:rsidP="003E300A">
            <w:pPr>
              <w:autoSpaceDE w:val="0"/>
              <w:autoSpaceDN w:val="0"/>
              <w:adjustRightInd w:val="0"/>
              <w:spacing w:line="300" w:lineRule="auto"/>
              <w:jc w:val="both"/>
              <w:rPr>
                <w:rFonts w:ascii="Arial" w:hAnsi="Arial" w:cs="Arial"/>
                <w:b/>
                <w:bCs/>
                <w:lang w:val="pl-PL"/>
              </w:rPr>
            </w:pPr>
          </w:p>
          <w:p w14:paraId="1FCC0FB3" w14:textId="77777777" w:rsidR="005856F7" w:rsidRDefault="005856F7" w:rsidP="003E300A">
            <w:pPr>
              <w:autoSpaceDE w:val="0"/>
              <w:autoSpaceDN w:val="0"/>
              <w:adjustRightInd w:val="0"/>
              <w:spacing w:line="300" w:lineRule="auto"/>
              <w:jc w:val="both"/>
              <w:rPr>
                <w:rFonts w:ascii="Arial" w:hAnsi="Arial" w:cs="Arial"/>
                <w:b/>
                <w:bCs/>
                <w:lang w:val="pl-PL"/>
              </w:rPr>
            </w:pPr>
          </w:p>
          <w:p w14:paraId="27540866" w14:textId="77777777" w:rsidR="005856F7" w:rsidRDefault="005856F7" w:rsidP="003E300A">
            <w:pPr>
              <w:autoSpaceDE w:val="0"/>
              <w:autoSpaceDN w:val="0"/>
              <w:adjustRightInd w:val="0"/>
              <w:spacing w:line="300" w:lineRule="auto"/>
              <w:jc w:val="both"/>
              <w:rPr>
                <w:rFonts w:ascii="Arial" w:hAnsi="Arial" w:cs="Arial"/>
                <w:b/>
                <w:bCs/>
                <w:lang w:val="pl-PL"/>
              </w:rPr>
            </w:pPr>
          </w:p>
          <w:p w14:paraId="7F2000DE" w14:textId="77777777" w:rsidR="005856F7" w:rsidRDefault="005856F7" w:rsidP="003E300A">
            <w:pPr>
              <w:autoSpaceDE w:val="0"/>
              <w:autoSpaceDN w:val="0"/>
              <w:adjustRightInd w:val="0"/>
              <w:spacing w:line="300" w:lineRule="auto"/>
              <w:jc w:val="both"/>
              <w:rPr>
                <w:rFonts w:ascii="Arial" w:hAnsi="Arial" w:cs="Arial"/>
                <w:b/>
                <w:bCs/>
                <w:lang w:val="pl-PL"/>
              </w:rPr>
            </w:pPr>
          </w:p>
          <w:p w14:paraId="483CFC10" w14:textId="77777777" w:rsidR="005856F7" w:rsidRDefault="005856F7" w:rsidP="003E300A">
            <w:pPr>
              <w:autoSpaceDE w:val="0"/>
              <w:autoSpaceDN w:val="0"/>
              <w:adjustRightInd w:val="0"/>
              <w:spacing w:line="300" w:lineRule="auto"/>
              <w:jc w:val="both"/>
              <w:rPr>
                <w:rFonts w:ascii="Arial" w:hAnsi="Arial" w:cs="Arial"/>
                <w:b/>
                <w:bCs/>
                <w:lang w:val="pl-PL"/>
              </w:rPr>
            </w:pPr>
          </w:p>
          <w:p w14:paraId="77505C4F" w14:textId="77777777" w:rsidR="005856F7" w:rsidRDefault="005856F7" w:rsidP="003E300A">
            <w:pPr>
              <w:autoSpaceDE w:val="0"/>
              <w:autoSpaceDN w:val="0"/>
              <w:adjustRightInd w:val="0"/>
              <w:spacing w:line="300" w:lineRule="auto"/>
              <w:jc w:val="both"/>
              <w:rPr>
                <w:rFonts w:ascii="Arial" w:hAnsi="Arial" w:cs="Arial"/>
                <w:b/>
                <w:bCs/>
                <w:lang w:val="pl-PL"/>
              </w:rPr>
            </w:pPr>
          </w:p>
          <w:p w14:paraId="46542864" w14:textId="77777777" w:rsidR="005856F7" w:rsidRDefault="005856F7" w:rsidP="003E300A">
            <w:pPr>
              <w:autoSpaceDE w:val="0"/>
              <w:autoSpaceDN w:val="0"/>
              <w:adjustRightInd w:val="0"/>
              <w:spacing w:line="300" w:lineRule="auto"/>
              <w:jc w:val="both"/>
              <w:rPr>
                <w:rFonts w:ascii="Arial" w:hAnsi="Arial" w:cs="Arial"/>
                <w:b/>
                <w:bCs/>
                <w:lang w:val="pl-PL"/>
              </w:rPr>
            </w:pPr>
          </w:p>
          <w:p w14:paraId="467895D6" w14:textId="77777777" w:rsidR="005856F7" w:rsidRDefault="005856F7" w:rsidP="003E300A">
            <w:pPr>
              <w:autoSpaceDE w:val="0"/>
              <w:autoSpaceDN w:val="0"/>
              <w:adjustRightInd w:val="0"/>
              <w:spacing w:line="300" w:lineRule="auto"/>
              <w:jc w:val="both"/>
              <w:rPr>
                <w:rFonts w:ascii="Arial" w:hAnsi="Arial" w:cs="Arial"/>
                <w:b/>
                <w:bCs/>
                <w:lang w:val="pl-PL"/>
              </w:rPr>
            </w:pPr>
          </w:p>
          <w:p w14:paraId="2D5D46C6" w14:textId="77777777" w:rsidR="005856F7" w:rsidRDefault="005856F7" w:rsidP="003E300A">
            <w:pPr>
              <w:autoSpaceDE w:val="0"/>
              <w:autoSpaceDN w:val="0"/>
              <w:adjustRightInd w:val="0"/>
              <w:spacing w:line="300" w:lineRule="auto"/>
              <w:jc w:val="both"/>
              <w:rPr>
                <w:rFonts w:ascii="Arial" w:hAnsi="Arial" w:cs="Arial"/>
                <w:b/>
                <w:bCs/>
                <w:lang w:val="pl-PL"/>
              </w:rPr>
            </w:pPr>
          </w:p>
          <w:p w14:paraId="7B9B5CE3" w14:textId="77777777" w:rsidR="005856F7" w:rsidRDefault="005856F7" w:rsidP="003E300A">
            <w:pPr>
              <w:autoSpaceDE w:val="0"/>
              <w:autoSpaceDN w:val="0"/>
              <w:adjustRightInd w:val="0"/>
              <w:spacing w:line="300" w:lineRule="auto"/>
              <w:jc w:val="both"/>
              <w:rPr>
                <w:rFonts w:ascii="Arial" w:hAnsi="Arial" w:cs="Arial"/>
                <w:b/>
                <w:bCs/>
                <w:lang w:val="pl-PL"/>
              </w:rPr>
            </w:pPr>
          </w:p>
          <w:p w14:paraId="568F8656" w14:textId="77777777" w:rsidR="005856F7" w:rsidRDefault="005856F7" w:rsidP="003E300A">
            <w:pPr>
              <w:autoSpaceDE w:val="0"/>
              <w:autoSpaceDN w:val="0"/>
              <w:adjustRightInd w:val="0"/>
              <w:spacing w:line="300" w:lineRule="auto"/>
              <w:jc w:val="both"/>
              <w:rPr>
                <w:rFonts w:ascii="Arial" w:hAnsi="Arial" w:cs="Arial"/>
                <w:b/>
                <w:bCs/>
                <w:lang w:val="pl-PL"/>
              </w:rPr>
            </w:pPr>
          </w:p>
          <w:p w14:paraId="2EBF17A7" w14:textId="77777777" w:rsidR="005856F7" w:rsidRDefault="005856F7" w:rsidP="003E300A">
            <w:pPr>
              <w:autoSpaceDE w:val="0"/>
              <w:autoSpaceDN w:val="0"/>
              <w:adjustRightInd w:val="0"/>
              <w:spacing w:line="300" w:lineRule="auto"/>
              <w:jc w:val="both"/>
              <w:rPr>
                <w:rFonts w:ascii="Arial" w:hAnsi="Arial" w:cs="Arial"/>
                <w:b/>
                <w:bCs/>
                <w:lang w:val="pl-PL"/>
              </w:rPr>
            </w:pPr>
          </w:p>
          <w:p w14:paraId="0571FB12" w14:textId="77777777" w:rsidR="005856F7" w:rsidRDefault="005856F7" w:rsidP="003E300A">
            <w:pPr>
              <w:autoSpaceDE w:val="0"/>
              <w:autoSpaceDN w:val="0"/>
              <w:adjustRightInd w:val="0"/>
              <w:spacing w:line="300" w:lineRule="auto"/>
              <w:jc w:val="both"/>
              <w:rPr>
                <w:rFonts w:ascii="Arial" w:hAnsi="Arial" w:cs="Arial"/>
                <w:b/>
                <w:bCs/>
                <w:lang w:val="pl-PL"/>
              </w:rPr>
            </w:pPr>
          </w:p>
          <w:p w14:paraId="69E45424" w14:textId="77777777" w:rsidR="005856F7" w:rsidRDefault="005856F7" w:rsidP="003E300A">
            <w:pPr>
              <w:autoSpaceDE w:val="0"/>
              <w:autoSpaceDN w:val="0"/>
              <w:adjustRightInd w:val="0"/>
              <w:spacing w:line="300" w:lineRule="auto"/>
              <w:jc w:val="both"/>
              <w:rPr>
                <w:rFonts w:ascii="Arial" w:hAnsi="Arial" w:cs="Arial"/>
                <w:b/>
                <w:bCs/>
                <w:lang w:val="pl-PL"/>
              </w:rPr>
            </w:pPr>
          </w:p>
          <w:p w14:paraId="0C08E393" w14:textId="77777777" w:rsidR="005856F7" w:rsidRDefault="005856F7" w:rsidP="003E300A">
            <w:pPr>
              <w:autoSpaceDE w:val="0"/>
              <w:autoSpaceDN w:val="0"/>
              <w:adjustRightInd w:val="0"/>
              <w:spacing w:line="300" w:lineRule="auto"/>
              <w:jc w:val="both"/>
              <w:rPr>
                <w:rFonts w:ascii="Arial" w:hAnsi="Arial" w:cs="Arial"/>
                <w:b/>
                <w:bCs/>
                <w:lang w:val="pl-PL"/>
              </w:rPr>
            </w:pPr>
          </w:p>
          <w:p w14:paraId="6EFDE7EF" w14:textId="777CDBCB" w:rsidR="0046454A" w:rsidRDefault="0046454A" w:rsidP="003E300A">
            <w:pPr>
              <w:autoSpaceDE w:val="0"/>
              <w:autoSpaceDN w:val="0"/>
              <w:adjustRightInd w:val="0"/>
              <w:spacing w:line="300" w:lineRule="auto"/>
              <w:jc w:val="both"/>
              <w:rPr>
                <w:rFonts w:ascii="Arial" w:hAnsi="Arial" w:cs="Arial"/>
                <w:b/>
                <w:bCs/>
                <w:lang w:val="pl-PL"/>
              </w:rPr>
            </w:pPr>
            <w:r>
              <w:rPr>
                <w:rFonts w:ascii="Arial" w:hAnsi="Arial" w:cs="Arial"/>
                <w:b/>
                <w:bCs/>
                <w:lang w:val="pl-PL"/>
              </w:rPr>
              <w:t xml:space="preserve">Uzgodnienia II- art. 27f ust. 4 </w:t>
            </w:r>
          </w:p>
          <w:p w14:paraId="2E114DC9" w14:textId="77777777" w:rsidR="00D22C10" w:rsidRDefault="00D22C10" w:rsidP="003E300A">
            <w:pPr>
              <w:autoSpaceDE w:val="0"/>
              <w:autoSpaceDN w:val="0"/>
              <w:adjustRightInd w:val="0"/>
              <w:spacing w:line="300" w:lineRule="auto"/>
              <w:jc w:val="both"/>
              <w:rPr>
                <w:rFonts w:ascii="Arial" w:hAnsi="Arial" w:cs="Arial"/>
                <w:lang w:val="pl-PL"/>
              </w:rPr>
            </w:pPr>
            <w:r w:rsidRPr="00DF7E2E">
              <w:rPr>
                <w:rFonts w:ascii="Arial" w:hAnsi="Arial" w:cs="Arial"/>
                <w:lang w:val="pl-PL"/>
              </w:rPr>
              <w:t>Brzmienie przepisu budzi wątpliwoś</w:t>
            </w:r>
            <w:r w:rsidR="00DF7E2E" w:rsidRPr="00DF7E2E">
              <w:rPr>
                <w:rFonts w:ascii="Arial" w:hAnsi="Arial" w:cs="Arial"/>
                <w:lang w:val="pl-PL"/>
              </w:rPr>
              <w:t xml:space="preserve">ć </w:t>
            </w:r>
            <w:r w:rsidR="00DF7E2E">
              <w:rPr>
                <w:rFonts w:ascii="Arial" w:hAnsi="Arial" w:cs="Arial"/>
                <w:lang w:val="pl-PL"/>
              </w:rPr>
              <w:t xml:space="preserve">z uwagi na to, iż podpis o którym mowa w art. 27f ust. 4 </w:t>
            </w:r>
          </w:p>
          <w:p w14:paraId="3D19ECD7" w14:textId="77777777" w:rsidR="005856F7" w:rsidRDefault="005856F7" w:rsidP="003E300A">
            <w:pPr>
              <w:autoSpaceDE w:val="0"/>
              <w:autoSpaceDN w:val="0"/>
              <w:adjustRightInd w:val="0"/>
              <w:spacing w:line="300" w:lineRule="auto"/>
              <w:jc w:val="both"/>
              <w:rPr>
                <w:rFonts w:ascii="Arial" w:hAnsi="Arial" w:cs="Arial"/>
                <w:lang w:val="pl-PL"/>
              </w:rPr>
            </w:pPr>
          </w:p>
          <w:p w14:paraId="03A1A4D8" w14:textId="1D2D8C75" w:rsidR="005856F7" w:rsidRPr="00DF7E2E" w:rsidRDefault="005856F7" w:rsidP="003E300A">
            <w:pPr>
              <w:autoSpaceDE w:val="0"/>
              <w:autoSpaceDN w:val="0"/>
              <w:adjustRightInd w:val="0"/>
              <w:spacing w:line="300" w:lineRule="auto"/>
              <w:jc w:val="both"/>
              <w:rPr>
                <w:rFonts w:ascii="Arial" w:hAnsi="Arial" w:cs="Arial"/>
                <w:lang w:val="pl-PL"/>
              </w:rPr>
            </w:pPr>
            <w:r>
              <w:rPr>
                <w:rFonts w:ascii="Arial" w:hAnsi="Arial" w:cs="Arial"/>
                <w:lang w:val="pl-PL"/>
              </w:rPr>
              <w:lastRenderedPageBreak/>
              <w:t xml:space="preserve">Art. 11 - </w:t>
            </w:r>
          </w:p>
        </w:tc>
        <w:tc>
          <w:tcPr>
            <w:tcW w:w="2693" w:type="dxa"/>
          </w:tcPr>
          <w:p w14:paraId="1634CCEB" w14:textId="77777777" w:rsidR="00582F29" w:rsidRPr="002A65F2" w:rsidRDefault="00582F29" w:rsidP="00582F29">
            <w:pPr>
              <w:jc w:val="both"/>
              <w:rPr>
                <w:rFonts w:ascii="Arial" w:hAnsi="Arial" w:cs="Arial"/>
                <w:iCs/>
                <w:lang w:val="pl-PL"/>
              </w:rPr>
            </w:pPr>
            <w:r w:rsidRPr="002A65F2">
              <w:rPr>
                <w:rFonts w:ascii="Arial" w:hAnsi="Arial" w:cs="Arial"/>
                <w:iCs/>
                <w:lang w:val="pl-PL"/>
              </w:rPr>
              <w:lastRenderedPageBreak/>
              <w:t>Biorąc powyższe pod rozwagę, należy w pierwszej kolejności uzupełnić projekt ustawy</w:t>
            </w:r>
          </w:p>
          <w:p w14:paraId="02A61AEF" w14:textId="77777777" w:rsidR="00582F29" w:rsidRPr="002A65F2" w:rsidRDefault="00582F29" w:rsidP="00582F29">
            <w:pPr>
              <w:jc w:val="both"/>
              <w:rPr>
                <w:rFonts w:ascii="Arial" w:hAnsi="Arial" w:cs="Arial"/>
                <w:iCs/>
                <w:lang w:val="pl-PL"/>
              </w:rPr>
            </w:pPr>
            <w:r w:rsidRPr="002A65F2">
              <w:rPr>
                <w:rFonts w:ascii="Arial" w:hAnsi="Arial" w:cs="Arial"/>
                <w:iCs/>
                <w:lang w:val="pl-PL"/>
              </w:rPr>
              <w:lastRenderedPageBreak/>
              <w:t>o określenie celu przetwarzania danych osobowych zgromadzonych w rejestrze</w:t>
            </w:r>
          </w:p>
          <w:p w14:paraId="3963E1D8" w14:textId="77777777" w:rsidR="00582F29" w:rsidRPr="002A65F2" w:rsidRDefault="00582F29" w:rsidP="00582F29">
            <w:pPr>
              <w:jc w:val="both"/>
              <w:rPr>
                <w:rFonts w:ascii="Arial" w:hAnsi="Arial" w:cs="Arial"/>
                <w:iCs/>
                <w:lang w:val="pl-PL"/>
              </w:rPr>
            </w:pPr>
            <w:r w:rsidRPr="002A65F2">
              <w:rPr>
                <w:rFonts w:ascii="Arial" w:hAnsi="Arial" w:cs="Arial"/>
                <w:iCs/>
                <w:lang w:val="pl-PL"/>
              </w:rPr>
              <w:t>ustanawianym na mocy projektowanego art. 27d. Po ustanowieniu celu dla rejestru</w:t>
            </w:r>
          </w:p>
          <w:p w14:paraId="47DBFCF4" w14:textId="77777777" w:rsidR="00582F29" w:rsidRPr="002A65F2" w:rsidRDefault="00582F29" w:rsidP="00582F29">
            <w:pPr>
              <w:jc w:val="both"/>
              <w:rPr>
                <w:rFonts w:ascii="Arial" w:hAnsi="Arial" w:cs="Arial"/>
                <w:iCs/>
                <w:lang w:val="pl-PL"/>
              </w:rPr>
            </w:pPr>
            <w:r w:rsidRPr="002A65F2">
              <w:rPr>
                <w:rFonts w:ascii="Arial" w:hAnsi="Arial" w:cs="Arial"/>
                <w:iCs/>
                <w:lang w:val="pl-PL"/>
              </w:rPr>
              <w:t>projektodawca powinien zbadać czy dla realizacji tego celu rzeczywiście konieczne jest</w:t>
            </w:r>
          </w:p>
          <w:p w14:paraId="5D83F32E" w14:textId="77777777" w:rsidR="00582F29" w:rsidRPr="002A65F2" w:rsidRDefault="00582F29" w:rsidP="00582F29">
            <w:pPr>
              <w:jc w:val="both"/>
              <w:rPr>
                <w:rFonts w:ascii="Arial" w:hAnsi="Arial" w:cs="Arial"/>
                <w:iCs/>
                <w:lang w:val="pl-PL"/>
              </w:rPr>
            </w:pPr>
            <w:r w:rsidRPr="002A65F2">
              <w:rPr>
                <w:rFonts w:ascii="Arial" w:hAnsi="Arial" w:cs="Arial"/>
                <w:iCs/>
                <w:lang w:val="pl-PL"/>
              </w:rPr>
              <w:t>przechowywanie w nim danych osobowych na zawsze, a następnie wykazać tę</w:t>
            </w:r>
          </w:p>
          <w:p w14:paraId="2A15240C" w14:textId="77777777" w:rsidR="00582F29" w:rsidRPr="002A65F2" w:rsidRDefault="00582F29" w:rsidP="00582F29">
            <w:pPr>
              <w:jc w:val="both"/>
              <w:rPr>
                <w:rFonts w:ascii="Arial" w:hAnsi="Arial" w:cs="Arial"/>
                <w:iCs/>
                <w:lang w:val="pl-PL"/>
              </w:rPr>
            </w:pPr>
            <w:r w:rsidRPr="002A65F2">
              <w:rPr>
                <w:rFonts w:ascii="Arial" w:hAnsi="Arial" w:cs="Arial"/>
                <w:iCs/>
                <w:lang w:val="pl-PL"/>
              </w:rPr>
              <w:t>niezbędność w uzasadnieniu, realizując przy okazji zasadę rzetelności i przejrzystości</w:t>
            </w:r>
          </w:p>
          <w:p w14:paraId="0814AF43" w14:textId="77777777" w:rsidR="00582F29" w:rsidRPr="002A65F2" w:rsidRDefault="00582F29" w:rsidP="00582F29">
            <w:pPr>
              <w:jc w:val="both"/>
              <w:rPr>
                <w:rFonts w:ascii="Arial" w:hAnsi="Arial" w:cs="Arial"/>
                <w:iCs/>
                <w:lang w:val="pl-PL"/>
              </w:rPr>
            </w:pPr>
            <w:r w:rsidRPr="002A65F2">
              <w:rPr>
                <w:rFonts w:ascii="Arial" w:hAnsi="Arial" w:cs="Arial"/>
                <w:iCs/>
                <w:lang w:val="pl-PL"/>
              </w:rPr>
              <w:t>RODO (art. 5 ust. 1 lit. a RODO) dla tego projektu. Należy podkreślić, że ustanawiając</w:t>
            </w:r>
          </w:p>
          <w:p w14:paraId="1C945B15" w14:textId="77777777" w:rsidR="00582F29" w:rsidRPr="002A65F2" w:rsidRDefault="00582F29" w:rsidP="00582F29">
            <w:pPr>
              <w:jc w:val="both"/>
              <w:rPr>
                <w:rFonts w:ascii="Arial" w:hAnsi="Arial" w:cs="Arial"/>
                <w:iCs/>
                <w:lang w:val="pl-PL"/>
              </w:rPr>
            </w:pPr>
            <w:r w:rsidRPr="002A65F2">
              <w:rPr>
                <w:rFonts w:ascii="Arial" w:hAnsi="Arial" w:cs="Arial"/>
                <w:iCs/>
                <w:lang w:val="pl-PL"/>
              </w:rPr>
              <w:t>nieusuwalność danych osobowych z rejestru projektodawca ustanawia niejako wyjątek od</w:t>
            </w:r>
          </w:p>
          <w:p w14:paraId="027701E2" w14:textId="77777777" w:rsidR="00582F29" w:rsidRPr="002A65F2" w:rsidRDefault="00582F29" w:rsidP="00582F29">
            <w:pPr>
              <w:jc w:val="both"/>
              <w:rPr>
                <w:rFonts w:ascii="Arial" w:hAnsi="Arial" w:cs="Arial"/>
                <w:iCs/>
                <w:lang w:val="pl-PL"/>
              </w:rPr>
            </w:pPr>
            <w:r w:rsidRPr="002A65F2">
              <w:rPr>
                <w:rFonts w:ascii="Arial" w:hAnsi="Arial" w:cs="Arial"/>
                <w:iCs/>
                <w:lang w:val="pl-PL"/>
              </w:rPr>
              <w:t>zasady RODO z art. 5 ust. 1 lit. e, która wymaga zapewnienia ograniczenia okresu</w:t>
            </w:r>
          </w:p>
          <w:p w14:paraId="2A8FF8FE" w14:textId="77777777" w:rsidR="00582F29" w:rsidRPr="002A65F2" w:rsidRDefault="00582F29" w:rsidP="00582F29">
            <w:pPr>
              <w:jc w:val="both"/>
              <w:rPr>
                <w:rFonts w:ascii="Arial" w:hAnsi="Arial" w:cs="Arial"/>
                <w:iCs/>
                <w:lang w:val="pl-PL"/>
              </w:rPr>
            </w:pPr>
            <w:r w:rsidRPr="002A65F2">
              <w:rPr>
                <w:rFonts w:ascii="Arial" w:hAnsi="Arial" w:cs="Arial"/>
                <w:iCs/>
                <w:lang w:val="pl-PL"/>
              </w:rPr>
              <w:t>przechowywania danych do ścisłego minimum. Dlatego projektodawca powinien wyjaśnić</w:t>
            </w:r>
          </w:p>
          <w:p w14:paraId="70500376" w14:textId="77777777" w:rsidR="00582F29" w:rsidRPr="002A65F2" w:rsidRDefault="00582F29" w:rsidP="00582F29">
            <w:pPr>
              <w:jc w:val="both"/>
              <w:rPr>
                <w:rFonts w:ascii="Arial" w:hAnsi="Arial" w:cs="Arial"/>
                <w:iCs/>
                <w:lang w:val="pl-PL"/>
              </w:rPr>
            </w:pPr>
            <w:r w:rsidRPr="002A65F2">
              <w:rPr>
                <w:rFonts w:ascii="Arial" w:hAnsi="Arial" w:cs="Arial"/>
                <w:iCs/>
                <w:lang w:val="pl-PL"/>
              </w:rPr>
              <w:t>dlaczego proponuje odstąpić od realizacji tej zasady odnosząc się bezpośrednio do celu</w:t>
            </w:r>
          </w:p>
          <w:p w14:paraId="48A1B8E2" w14:textId="77777777" w:rsidR="00582F29" w:rsidRPr="002A65F2" w:rsidRDefault="00582F29" w:rsidP="00582F29">
            <w:pPr>
              <w:jc w:val="both"/>
              <w:rPr>
                <w:rFonts w:ascii="Arial" w:hAnsi="Arial" w:cs="Arial"/>
                <w:iCs/>
                <w:lang w:val="pl-PL"/>
              </w:rPr>
            </w:pPr>
            <w:r w:rsidRPr="002A65F2">
              <w:rPr>
                <w:rFonts w:ascii="Arial" w:hAnsi="Arial" w:cs="Arial"/>
                <w:iCs/>
                <w:lang w:val="pl-PL"/>
              </w:rPr>
              <w:t>powołania tego rejestru.</w:t>
            </w:r>
          </w:p>
          <w:p w14:paraId="7F3E890B" w14:textId="77777777" w:rsidR="00582F29" w:rsidRPr="002A65F2" w:rsidRDefault="00582F29" w:rsidP="00582F29">
            <w:pPr>
              <w:jc w:val="both"/>
              <w:rPr>
                <w:rFonts w:ascii="Arial" w:hAnsi="Arial" w:cs="Arial"/>
                <w:iCs/>
                <w:lang w:val="pl-PL"/>
              </w:rPr>
            </w:pPr>
            <w:r w:rsidRPr="002A65F2">
              <w:rPr>
                <w:rFonts w:ascii="Arial" w:hAnsi="Arial" w:cs="Arial"/>
                <w:iCs/>
                <w:lang w:val="pl-PL"/>
              </w:rPr>
              <w:lastRenderedPageBreak/>
              <w:t>Jeżeli natomiast dane osobowe zgromadzone w rejestrze będą przetwarzane wyłącznie do</w:t>
            </w:r>
          </w:p>
          <w:p w14:paraId="1D1C6E20" w14:textId="77777777" w:rsidR="00582F29" w:rsidRPr="002A65F2" w:rsidRDefault="00582F29" w:rsidP="00582F29">
            <w:pPr>
              <w:jc w:val="both"/>
              <w:rPr>
                <w:rFonts w:ascii="Arial" w:hAnsi="Arial" w:cs="Arial"/>
                <w:iCs/>
                <w:lang w:val="pl-PL"/>
              </w:rPr>
            </w:pPr>
            <w:r w:rsidRPr="002A65F2">
              <w:rPr>
                <w:rFonts w:ascii="Arial" w:hAnsi="Arial" w:cs="Arial"/>
                <w:iCs/>
                <w:lang w:val="pl-PL"/>
              </w:rPr>
              <w:t>celów archiwalnych w interesie publicznym, do celów badań naukowych lub historycznych</w:t>
            </w:r>
          </w:p>
          <w:p w14:paraId="37B13749" w14:textId="2C6E14AE" w:rsidR="00582F29" w:rsidRPr="002A65F2" w:rsidRDefault="00582F29" w:rsidP="00582F29">
            <w:pPr>
              <w:jc w:val="both"/>
              <w:rPr>
                <w:rFonts w:ascii="Arial" w:hAnsi="Arial" w:cs="Arial"/>
                <w:iCs/>
                <w:lang w:val="pl-PL"/>
              </w:rPr>
            </w:pPr>
            <w:r w:rsidRPr="002A65F2">
              <w:rPr>
                <w:rFonts w:ascii="Arial" w:hAnsi="Arial" w:cs="Arial"/>
                <w:iCs/>
                <w:lang w:val="pl-PL"/>
              </w:rPr>
              <w:t>lub do celów statystycznych, to w projektowanej regulacji należy przewidzieć wdrożenie</w:t>
            </w:r>
            <w:r w:rsidR="0046454A">
              <w:rPr>
                <w:rFonts w:ascii="Arial" w:hAnsi="Arial" w:cs="Arial"/>
                <w:iCs/>
                <w:lang w:val="pl-PL"/>
              </w:rPr>
              <w:t xml:space="preserve"> </w:t>
            </w:r>
            <w:r w:rsidRPr="002A65F2">
              <w:rPr>
                <w:rFonts w:ascii="Arial" w:hAnsi="Arial" w:cs="Arial"/>
                <w:iCs/>
                <w:lang w:val="pl-PL"/>
              </w:rPr>
              <w:t>odpowiednich środków technicznych i organizacyjnych wymaganych na mocy RODO</w:t>
            </w:r>
            <w:r w:rsidR="0046454A">
              <w:rPr>
                <w:rFonts w:ascii="Arial" w:hAnsi="Arial" w:cs="Arial"/>
                <w:iCs/>
                <w:lang w:val="pl-PL"/>
              </w:rPr>
              <w:t xml:space="preserve"> </w:t>
            </w:r>
            <w:r w:rsidRPr="002A65F2">
              <w:rPr>
                <w:rFonts w:ascii="Arial" w:hAnsi="Arial" w:cs="Arial"/>
                <w:iCs/>
                <w:lang w:val="pl-PL"/>
              </w:rPr>
              <w:t>w celu ochrony praw i wolności osób, których dane dotyczą.</w:t>
            </w:r>
          </w:p>
          <w:p w14:paraId="13E7672F" w14:textId="512B418F" w:rsidR="00582F29" w:rsidRPr="002A65F2" w:rsidRDefault="00582F29" w:rsidP="00582F29">
            <w:pPr>
              <w:jc w:val="both"/>
              <w:rPr>
                <w:rFonts w:ascii="Arial" w:hAnsi="Arial" w:cs="Arial"/>
                <w:iCs/>
                <w:lang w:val="pl-PL"/>
              </w:rPr>
            </w:pPr>
            <w:r w:rsidRPr="002A65F2">
              <w:rPr>
                <w:rFonts w:ascii="Arial" w:hAnsi="Arial" w:cs="Arial"/>
                <w:iCs/>
                <w:lang w:val="pl-PL"/>
              </w:rPr>
              <w:t>Zgodnie z zasadą prawidłowości (art. 5 ust. 1 lit. d RODO) dane osobowe przetwarzane</w:t>
            </w:r>
            <w:r w:rsidR="0046454A">
              <w:rPr>
                <w:rFonts w:ascii="Arial" w:hAnsi="Arial" w:cs="Arial"/>
                <w:iCs/>
                <w:lang w:val="pl-PL"/>
              </w:rPr>
              <w:t xml:space="preserve"> </w:t>
            </w:r>
            <w:r w:rsidRPr="002A65F2">
              <w:rPr>
                <w:rFonts w:ascii="Arial" w:hAnsi="Arial" w:cs="Arial"/>
                <w:iCs/>
                <w:lang w:val="pl-PL"/>
              </w:rPr>
              <w:t>w rejestrze muszą być prawidłowe i w razie potrzeby uaktualniane; należy podjąć wszelkie</w:t>
            </w:r>
          </w:p>
          <w:p w14:paraId="10B229A0" w14:textId="523BC715" w:rsidR="00582F29" w:rsidRPr="002A65F2" w:rsidRDefault="00582F29" w:rsidP="00582F29">
            <w:pPr>
              <w:jc w:val="both"/>
              <w:rPr>
                <w:rFonts w:ascii="Arial" w:hAnsi="Arial" w:cs="Arial"/>
                <w:iCs/>
                <w:lang w:val="pl-PL"/>
              </w:rPr>
            </w:pPr>
            <w:r w:rsidRPr="002A65F2">
              <w:rPr>
                <w:rFonts w:ascii="Arial" w:hAnsi="Arial" w:cs="Arial"/>
                <w:iCs/>
                <w:lang w:val="pl-PL"/>
              </w:rPr>
              <w:t>rozsądne działania, aby dane osobowe, które są nieprawidłowe w świetle celów ich</w:t>
            </w:r>
            <w:r w:rsidR="0046454A">
              <w:rPr>
                <w:rFonts w:ascii="Arial" w:hAnsi="Arial" w:cs="Arial"/>
                <w:iCs/>
                <w:lang w:val="pl-PL"/>
              </w:rPr>
              <w:t xml:space="preserve"> </w:t>
            </w:r>
            <w:r w:rsidRPr="002A65F2">
              <w:rPr>
                <w:rFonts w:ascii="Arial" w:hAnsi="Arial" w:cs="Arial"/>
                <w:iCs/>
                <w:lang w:val="pl-PL"/>
              </w:rPr>
              <w:t>przetwarzania, zostały niezwłocznie usunięte lub sprostowane. Rejestr powinien</w:t>
            </w:r>
            <w:r w:rsidR="0046454A">
              <w:rPr>
                <w:rFonts w:ascii="Arial" w:hAnsi="Arial" w:cs="Arial"/>
                <w:iCs/>
                <w:lang w:val="pl-PL"/>
              </w:rPr>
              <w:t xml:space="preserve"> </w:t>
            </w:r>
            <w:r w:rsidRPr="002A65F2">
              <w:rPr>
                <w:rFonts w:ascii="Arial" w:hAnsi="Arial" w:cs="Arial"/>
                <w:iCs/>
                <w:lang w:val="pl-PL"/>
              </w:rPr>
              <w:t>przetwarzać aktualne dane osobowe nie tylko ze względów dochowania zasady</w:t>
            </w:r>
            <w:r w:rsidR="0046454A">
              <w:rPr>
                <w:rFonts w:ascii="Arial" w:hAnsi="Arial" w:cs="Arial"/>
                <w:iCs/>
                <w:lang w:val="pl-PL"/>
              </w:rPr>
              <w:t xml:space="preserve"> </w:t>
            </w:r>
            <w:r w:rsidRPr="002A65F2">
              <w:rPr>
                <w:rFonts w:ascii="Arial" w:hAnsi="Arial" w:cs="Arial"/>
                <w:iCs/>
                <w:lang w:val="pl-PL"/>
              </w:rPr>
              <w:t>prawidłowości RODO, ale także ze względów praktycznego jego funkcjonowania i</w:t>
            </w:r>
          </w:p>
          <w:p w14:paraId="1DF3941A" w14:textId="77777777" w:rsidR="00582F29" w:rsidRPr="002A65F2" w:rsidRDefault="00582F29" w:rsidP="00582F29">
            <w:pPr>
              <w:jc w:val="both"/>
              <w:rPr>
                <w:rFonts w:ascii="Arial" w:hAnsi="Arial" w:cs="Arial"/>
                <w:iCs/>
                <w:lang w:val="pl-PL"/>
              </w:rPr>
            </w:pPr>
            <w:r w:rsidRPr="002A65F2">
              <w:rPr>
                <w:rFonts w:ascii="Arial" w:hAnsi="Arial" w:cs="Arial"/>
                <w:iCs/>
                <w:lang w:val="pl-PL"/>
              </w:rPr>
              <w:lastRenderedPageBreak/>
              <w:t>celowości, bowiem rejestr z danymi nieaktualnymi lub błędnymi będzie rejestrem</w:t>
            </w:r>
          </w:p>
          <w:p w14:paraId="24856D08" w14:textId="77777777" w:rsidR="00582F29" w:rsidRDefault="00582F29" w:rsidP="00582F29">
            <w:pPr>
              <w:jc w:val="both"/>
              <w:rPr>
                <w:rFonts w:ascii="Arial" w:hAnsi="Arial" w:cs="Arial"/>
                <w:iCs/>
                <w:lang w:val="pl-PL"/>
              </w:rPr>
            </w:pPr>
            <w:r w:rsidRPr="00064D2A">
              <w:rPr>
                <w:rFonts w:ascii="Arial" w:hAnsi="Arial" w:cs="Arial"/>
                <w:iCs/>
                <w:lang w:val="pl-PL"/>
              </w:rPr>
              <w:t>ułomnym, tj. nierealizującym w pełni celu dla którego został utworzony.</w:t>
            </w:r>
          </w:p>
          <w:p w14:paraId="4B74E4BE" w14:textId="7A7D8038" w:rsidR="0046454A" w:rsidRPr="00064D2A" w:rsidRDefault="0046454A" w:rsidP="00582F29">
            <w:pPr>
              <w:jc w:val="both"/>
              <w:rPr>
                <w:rFonts w:ascii="Arial" w:hAnsi="Arial" w:cs="Arial"/>
                <w:iCs/>
                <w:lang w:val="pl-PL"/>
              </w:rPr>
            </w:pPr>
          </w:p>
          <w:p w14:paraId="6B3DA1F9" w14:textId="77777777" w:rsidR="00721ECD" w:rsidRPr="00064D2A" w:rsidRDefault="00721ECD" w:rsidP="003E300A">
            <w:pPr>
              <w:autoSpaceDE w:val="0"/>
              <w:autoSpaceDN w:val="0"/>
              <w:adjustRightInd w:val="0"/>
              <w:spacing w:line="300" w:lineRule="auto"/>
              <w:jc w:val="both"/>
              <w:rPr>
                <w:rFonts w:ascii="Arial" w:hAnsi="Arial" w:cs="Arial"/>
                <w:b/>
                <w:bCs/>
                <w:lang w:val="pl-PL"/>
              </w:rPr>
            </w:pPr>
          </w:p>
        </w:tc>
        <w:tc>
          <w:tcPr>
            <w:tcW w:w="4111" w:type="dxa"/>
          </w:tcPr>
          <w:p w14:paraId="61FC5E5F" w14:textId="77777777" w:rsidR="00721ECD" w:rsidRPr="00064D2A" w:rsidRDefault="00685E59" w:rsidP="003E300A">
            <w:pPr>
              <w:autoSpaceDE w:val="0"/>
              <w:autoSpaceDN w:val="0"/>
              <w:adjustRightInd w:val="0"/>
              <w:jc w:val="both"/>
              <w:rPr>
                <w:rFonts w:ascii="Arial" w:hAnsi="Arial" w:cs="Arial"/>
                <w:b/>
                <w:bCs/>
                <w:lang w:val="pl-PL"/>
              </w:rPr>
            </w:pPr>
            <w:r w:rsidRPr="00064D2A">
              <w:rPr>
                <w:rFonts w:ascii="Arial" w:hAnsi="Arial" w:cs="Arial"/>
                <w:b/>
                <w:bCs/>
                <w:lang w:val="pl-PL"/>
              </w:rPr>
              <w:lastRenderedPageBreak/>
              <w:t>Uwagi uwzględnione-</w:t>
            </w:r>
          </w:p>
          <w:p w14:paraId="5B903C90" w14:textId="77777777" w:rsidR="00685E59" w:rsidRPr="00064D2A" w:rsidRDefault="00685E59" w:rsidP="003E300A">
            <w:pPr>
              <w:autoSpaceDE w:val="0"/>
              <w:autoSpaceDN w:val="0"/>
              <w:adjustRightInd w:val="0"/>
              <w:jc w:val="both"/>
              <w:rPr>
                <w:rFonts w:ascii="Arial" w:hAnsi="Arial" w:cs="Arial"/>
                <w:b/>
                <w:bCs/>
                <w:lang w:val="pl-PL"/>
              </w:rPr>
            </w:pPr>
          </w:p>
          <w:p w14:paraId="03E410B1" w14:textId="77777777" w:rsidR="00685E59" w:rsidRDefault="00685E59" w:rsidP="003E300A">
            <w:pPr>
              <w:autoSpaceDE w:val="0"/>
              <w:autoSpaceDN w:val="0"/>
              <w:adjustRightInd w:val="0"/>
              <w:jc w:val="both"/>
              <w:rPr>
                <w:rFonts w:ascii="Arial" w:hAnsi="Arial" w:cs="Arial"/>
                <w:lang w:val="pl-PL"/>
              </w:rPr>
            </w:pPr>
            <w:r w:rsidRPr="00064D2A">
              <w:rPr>
                <w:rFonts w:ascii="Arial" w:hAnsi="Arial" w:cs="Arial"/>
                <w:lang w:val="pl-PL"/>
              </w:rPr>
              <w:t xml:space="preserve">dokonano uzupełnienia i doprecyzowania wskazanych przepisów w roboczym </w:t>
            </w:r>
            <w:r w:rsidRPr="00064D2A">
              <w:rPr>
                <w:rFonts w:ascii="Arial" w:hAnsi="Arial" w:cs="Arial"/>
                <w:lang w:val="pl-PL"/>
              </w:rPr>
              <w:lastRenderedPageBreak/>
              <w:t>uzgodnieniu z osoba wskazaną w MC  (robocza wersja projektu z dnia 25.10.2024 r. zawiera wprowadzone w wyniku uwag MC zmiany)</w:t>
            </w:r>
            <w:r w:rsidR="005856F7">
              <w:rPr>
                <w:rFonts w:ascii="Arial" w:hAnsi="Arial" w:cs="Arial"/>
                <w:lang w:val="pl-PL"/>
              </w:rPr>
              <w:t xml:space="preserve"> </w:t>
            </w:r>
          </w:p>
          <w:p w14:paraId="2A1419B5" w14:textId="77777777" w:rsidR="005856F7" w:rsidRDefault="005856F7" w:rsidP="003E300A">
            <w:pPr>
              <w:autoSpaceDE w:val="0"/>
              <w:autoSpaceDN w:val="0"/>
              <w:adjustRightInd w:val="0"/>
              <w:jc w:val="both"/>
              <w:rPr>
                <w:rFonts w:ascii="Arial" w:hAnsi="Arial" w:cs="Arial"/>
                <w:lang w:val="pl-PL"/>
              </w:rPr>
            </w:pPr>
          </w:p>
          <w:p w14:paraId="6AE7DC69" w14:textId="77777777" w:rsidR="005856F7" w:rsidRDefault="005856F7" w:rsidP="003E300A">
            <w:pPr>
              <w:autoSpaceDE w:val="0"/>
              <w:autoSpaceDN w:val="0"/>
              <w:adjustRightInd w:val="0"/>
              <w:jc w:val="both"/>
              <w:rPr>
                <w:rFonts w:ascii="Arial" w:hAnsi="Arial" w:cs="Arial"/>
                <w:lang w:val="pl-PL"/>
              </w:rPr>
            </w:pPr>
          </w:p>
          <w:p w14:paraId="78C4FD44" w14:textId="77777777" w:rsidR="005856F7" w:rsidRDefault="005856F7" w:rsidP="003E300A">
            <w:pPr>
              <w:autoSpaceDE w:val="0"/>
              <w:autoSpaceDN w:val="0"/>
              <w:adjustRightInd w:val="0"/>
              <w:jc w:val="both"/>
              <w:rPr>
                <w:rFonts w:ascii="Arial" w:hAnsi="Arial" w:cs="Arial"/>
                <w:lang w:val="pl-PL"/>
              </w:rPr>
            </w:pPr>
          </w:p>
          <w:p w14:paraId="68EA828B" w14:textId="77777777" w:rsidR="005856F7" w:rsidRDefault="005856F7" w:rsidP="003E300A">
            <w:pPr>
              <w:autoSpaceDE w:val="0"/>
              <w:autoSpaceDN w:val="0"/>
              <w:adjustRightInd w:val="0"/>
              <w:jc w:val="both"/>
              <w:rPr>
                <w:rFonts w:ascii="Arial" w:hAnsi="Arial" w:cs="Arial"/>
                <w:lang w:val="pl-PL"/>
              </w:rPr>
            </w:pPr>
          </w:p>
          <w:p w14:paraId="721F868C" w14:textId="0268DF30" w:rsidR="005856F7" w:rsidRDefault="005856F7" w:rsidP="003E300A">
            <w:pPr>
              <w:autoSpaceDE w:val="0"/>
              <w:autoSpaceDN w:val="0"/>
              <w:adjustRightInd w:val="0"/>
              <w:jc w:val="both"/>
              <w:rPr>
                <w:rFonts w:ascii="Arial" w:hAnsi="Arial" w:cs="Arial"/>
                <w:lang w:val="pl-PL"/>
              </w:rPr>
            </w:pPr>
            <w:r>
              <w:rPr>
                <w:rFonts w:ascii="Arial" w:hAnsi="Arial" w:cs="Arial"/>
                <w:lang w:val="pl-PL"/>
              </w:rPr>
              <w:t xml:space="preserve">Uwaga  – uwzględniona </w:t>
            </w:r>
          </w:p>
          <w:p w14:paraId="16DFD1D3" w14:textId="73D57F9A" w:rsidR="005856F7" w:rsidRDefault="005856F7" w:rsidP="003E300A">
            <w:pPr>
              <w:autoSpaceDE w:val="0"/>
              <w:autoSpaceDN w:val="0"/>
              <w:adjustRightInd w:val="0"/>
              <w:jc w:val="both"/>
              <w:rPr>
                <w:rFonts w:ascii="Arial" w:hAnsi="Arial" w:cs="Arial"/>
                <w:lang w:val="pl-PL"/>
              </w:rPr>
            </w:pPr>
            <w:r>
              <w:rPr>
                <w:rFonts w:ascii="Arial" w:hAnsi="Arial" w:cs="Arial"/>
                <w:lang w:val="pl-PL"/>
              </w:rPr>
              <w:t xml:space="preserve">Przepis zostanie doprecyzowany, o to że chodzi o osobę fizyczną reprezentującą podmiot </w:t>
            </w:r>
          </w:p>
          <w:p w14:paraId="3B1956EE" w14:textId="77777777" w:rsidR="005856F7" w:rsidRDefault="005856F7" w:rsidP="003E300A">
            <w:pPr>
              <w:autoSpaceDE w:val="0"/>
              <w:autoSpaceDN w:val="0"/>
              <w:adjustRightInd w:val="0"/>
              <w:jc w:val="both"/>
              <w:rPr>
                <w:rFonts w:ascii="Arial" w:hAnsi="Arial" w:cs="Arial"/>
                <w:lang w:val="pl-PL"/>
              </w:rPr>
            </w:pPr>
          </w:p>
          <w:p w14:paraId="68140D76" w14:textId="3BE6BA78" w:rsidR="00060D71" w:rsidRDefault="00060D71" w:rsidP="003E300A">
            <w:pPr>
              <w:autoSpaceDE w:val="0"/>
              <w:autoSpaceDN w:val="0"/>
              <w:adjustRightInd w:val="0"/>
              <w:jc w:val="both"/>
              <w:rPr>
                <w:rFonts w:ascii="Arial" w:hAnsi="Arial" w:cs="Arial"/>
                <w:lang w:val="pl-PL"/>
              </w:rPr>
            </w:pPr>
            <w:r>
              <w:rPr>
                <w:rFonts w:ascii="Arial" w:hAnsi="Arial" w:cs="Arial"/>
                <w:lang w:val="pl-PL"/>
              </w:rPr>
              <w:t xml:space="preserve">Art. 11 – do rozstrzygnięcia na Komisji Prawniczej </w:t>
            </w:r>
          </w:p>
          <w:p w14:paraId="7056B7D5" w14:textId="77777777" w:rsidR="00060D71" w:rsidRDefault="00060D71" w:rsidP="003E300A">
            <w:pPr>
              <w:autoSpaceDE w:val="0"/>
              <w:autoSpaceDN w:val="0"/>
              <w:adjustRightInd w:val="0"/>
              <w:jc w:val="both"/>
              <w:rPr>
                <w:rFonts w:ascii="Arial" w:hAnsi="Arial" w:cs="Arial"/>
                <w:lang w:val="pl-PL"/>
              </w:rPr>
            </w:pPr>
          </w:p>
          <w:p w14:paraId="41B995C0" w14:textId="1DD47A5B" w:rsidR="005856F7" w:rsidRPr="00064D2A" w:rsidRDefault="005856F7" w:rsidP="003E300A">
            <w:pPr>
              <w:autoSpaceDE w:val="0"/>
              <w:autoSpaceDN w:val="0"/>
              <w:adjustRightInd w:val="0"/>
              <w:jc w:val="both"/>
              <w:rPr>
                <w:rFonts w:ascii="Arial" w:hAnsi="Arial" w:cs="Arial"/>
                <w:lang w:val="pl-PL"/>
              </w:rPr>
            </w:pPr>
          </w:p>
        </w:tc>
      </w:tr>
      <w:tr w:rsidR="0049157F" w:rsidRPr="00064D2A" w14:paraId="0162E1CE" w14:textId="77777777" w:rsidTr="00582F29">
        <w:tc>
          <w:tcPr>
            <w:tcW w:w="13887" w:type="dxa"/>
            <w:gridSpan w:val="6"/>
            <w:shd w:val="clear" w:color="auto" w:fill="E8E8E8" w:themeFill="background2"/>
          </w:tcPr>
          <w:p w14:paraId="59BF2285" w14:textId="77777777" w:rsidR="0049157F" w:rsidRPr="00064D2A" w:rsidRDefault="0049157F" w:rsidP="0049157F">
            <w:pPr>
              <w:autoSpaceDE w:val="0"/>
              <w:autoSpaceDN w:val="0"/>
              <w:adjustRightInd w:val="0"/>
              <w:jc w:val="center"/>
              <w:rPr>
                <w:rFonts w:ascii="Arial" w:hAnsi="Arial" w:cs="Arial"/>
                <w:b/>
                <w:bCs/>
                <w:lang w:val="pl-PL"/>
              </w:rPr>
            </w:pPr>
          </w:p>
          <w:p w14:paraId="77A49E06" w14:textId="014F4964" w:rsidR="0049157F" w:rsidRPr="00064D2A" w:rsidRDefault="0049157F" w:rsidP="0049157F">
            <w:pPr>
              <w:autoSpaceDE w:val="0"/>
              <w:autoSpaceDN w:val="0"/>
              <w:adjustRightInd w:val="0"/>
              <w:jc w:val="center"/>
              <w:rPr>
                <w:rFonts w:ascii="Arial" w:hAnsi="Arial" w:cs="Arial"/>
                <w:b/>
                <w:bCs/>
                <w:lang w:val="pl-PL"/>
              </w:rPr>
            </w:pPr>
            <w:r w:rsidRPr="00064D2A">
              <w:rPr>
                <w:rFonts w:ascii="Arial" w:hAnsi="Arial" w:cs="Arial"/>
                <w:b/>
                <w:bCs/>
                <w:lang w:val="pl-PL"/>
              </w:rPr>
              <w:t>OPINIOWANIE</w:t>
            </w:r>
          </w:p>
          <w:p w14:paraId="6B1E384D" w14:textId="0A864ADA" w:rsidR="0049157F" w:rsidRPr="00064D2A" w:rsidRDefault="0049157F" w:rsidP="0049157F">
            <w:pPr>
              <w:autoSpaceDE w:val="0"/>
              <w:autoSpaceDN w:val="0"/>
              <w:adjustRightInd w:val="0"/>
              <w:jc w:val="center"/>
              <w:rPr>
                <w:rFonts w:ascii="Arial" w:hAnsi="Arial" w:cs="Arial"/>
                <w:b/>
                <w:bCs/>
                <w:lang w:val="pl-PL"/>
              </w:rPr>
            </w:pPr>
          </w:p>
        </w:tc>
      </w:tr>
      <w:tr w:rsidR="00CD1E2E" w:rsidRPr="00064D2A" w14:paraId="03D6F8DF" w14:textId="77777777" w:rsidTr="00064D2A">
        <w:tc>
          <w:tcPr>
            <w:tcW w:w="562" w:type="dxa"/>
          </w:tcPr>
          <w:p w14:paraId="66AC097E" w14:textId="300CADD2" w:rsidR="00CD1E2E" w:rsidRPr="00064D2A" w:rsidRDefault="00807E88" w:rsidP="00CD1E2E">
            <w:pPr>
              <w:autoSpaceDE w:val="0"/>
              <w:autoSpaceDN w:val="0"/>
              <w:adjustRightInd w:val="0"/>
              <w:spacing w:line="300" w:lineRule="auto"/>
              <w:jc w:val="both"/>
              <w:rPr>
                <w:rFonts w:ascii="Arial" w:hAnsi="Arial" w:cs="Arial"/>
                <w:b/>
                <w:bCs/>
                <w:lang w:val="pl-PL"/>
              </w:rPr>
            </w:pPr>
            <w:r>
              <w:rPr>
                <w:rFonts w:ascii="Arial" w:hAnsi="Arial" w:cs="Arial"/>
                <w:b/>
                <w:bCs/>
                <w:lang w:val="pl-PL"/>
              </w:rPr>
              <w:t>24</w:t>
            </w:r>
            <w:r w:rsidR="00CD1E2E" w:rsidRPr="00064D2A">
              <w:rPr>
                <w:rFonts w:ascii="Arial" w:hAnsi="Arial" w:cs="Arial"/>
                <w:b/>
                <w:bCs/>
                <w:lang w:val="pl-PL"/>
              </w:rPr>
              <w:t>.</w:t>
            </w:r>
          </w:p>
        </w:tc>
        <w:tc>
          <w:tcPr>
            <w:tcW w:w="1333" w:type="dxa"/>
          </w:tcPr>
          <w:p w14:paraId="70F51CB5" w14:textId="398CCC2E" w:rsidR="00CD1E2E" w:rsidRPr="00064D2A" w:rsidRDefault="00CD1E2E" w:rsidP="00CD1E2E">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UODO</w:t>
            </w:r>
          </w:p>
        </w:tc>
        <w:tc>
          <w:tcPr>
            <w:tcW w:w="1395" w:type="dxa"/>
          </w:tcPr>
          <w:p w14:paraId="065B4837" w14:textId="56313EF8" w:rsidR="00CD1E2E" w:rsidRPr="00064D2A" w:rsidRDefault="00CD1E2E" w:rsidP="00CD1E2E">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Opinia ogólna</w:t>
            </w:r>
          </w:p>
        </w:tc>
        <w:tc>
          <w:tcPr>
            <w:tcW w:w="3793" w:type="dxa"/>
          </w:tcPr>
          <w:p w14:paraId="5D6CEEE1" w14:textId="7B12DDF9" w:rsidR="00CD1E2E" w:rsidRPr="0008263A" w:rsidRDefault="00CD1E2E" w:rsidP="00CD1E2E">
            <w:pPr>
              <w:jc w:val="both"/>
              <w:rPr>
                <w:rFonts w:ascii="Arial" w:hAnsi="Arial" w:cs="Arial"/>
                <w:iCs/>
                <w:lang w:val="pl-PL"/>
              </w:rPr>
            </w:pPr>
            <w:r w:rsidRPr="0008263A">
              <w:rPr>
                <w:rFonts w:ascii="Arial" w:hAnsi="Arial" w:cs="Arial"/>
                <w:iCs/>
                <w:lang w:val="pl-PL"/>
              </w:rPr>
              <w:t>Na mocy projektowanej regulacji tworzony jest Rejestr udzielonych zezwoleń</w:t>
            </w:r>
            <w:r w:rsidR="00064D2A">
              <w:rPr>
                <w:rFonts w:ascii="Arial" w:hAnsi="Arial" w:cs="Arial"/>
                <w:iCs/>
                <w:lang w:val="pl-PL"/>
              </w:rPr>
              <w:t xml:space="preserve"> </w:t>
            </w:r>
            <w:r w:rsidRPr="0008263A">
              <w:rPr>
                <w:rFonts w:ascii="Arial" w:hAnsi="Arial" w:cs="Arial"/>
                <w:iCs/>
                <w:lang w:val="pl-PL"/>
              </w:rPr>
              <w:t>indywidualnych i zezwoleń globalnych oraz podmiotów korzystających z</w:t>
            </w:r>
            <w:r w:rsidR="00064D2A">
              <w:rPr>
                <w:rFonts w:ascii="Arial" w:hAnsi="Arial" w:cs="Arial"/>
                <w:iCs/>
                <w:lang w:val="pl-PL"/>
              </w:rPr>
              <w:t xml:space="preserve"> </w:t>
            </w:r>
            <w:r w:rsidRPr="0008263A">
              <w:rPr>
                <w:rFonts w:ascii="Arial" w:hAnsi="Arial" w:cs="Arial"/>
                <w:iCs/>
                <w:lang w:val="pl-PL"/>
              </w:rPr>
              <w:t>krajowych zezwoleń generalnych i unijnych generalnych zezwoleń na wywóz,</w:t>
            </w:r>
            <w:r w:rsidR="00064D2A">
              <w:rPr>
                <w:rFonts w:ascii="Arial" w:hAnsi="Arial" w:cs="Arial"/>
                <w:iCs/>
                <w:lang w:val="pl-PL"/>
              </w:rPr>
              <w:t xml:space="preserve"> </w:t>
            </w:r>
            <w:r w:rsidRPr="0008263A">
              <w:rPr>
                <w:rFonts w:ascii="Arial" w:hAnsi="Arial" w:cs="Arial"/>
                <w:iCs/>
                <w:lang w:val="pl-PL"/>
              </w:rPr>
              <w:t>dalej jako: „Rejestr”. Rejestr ten prowadzony jest w – bliżej nieokreślonym w przepisach</w:t>
            </w:r>
          </w:p>
          <w:p w14:paraId="371513CB" w14:textId="77777777" w:rsidR="00CD1E2E" w:rsidRPr="0008263A" w:rsidRDefault="00CD1E2E" w:rsidP="00CD1E2E">
            <w:pPr>
              <w:jc w:val="both"/>
              <w:rPr>
                <w:rFonts w:ascii="Arial" w:hAnsi="Arial" w:cs="Arial"/>
                <w:iCs/>
                <w:lang w:val="pl-PL"/>
              </w:rPr>
            </w:pPr>
            <w:r w:rsidRPr="0008263A">
              <w:rPr>
                <w:rFonts w:ascii="Arial" w:hAnsi="Arial" w:cs="Arial"/>
                <w:iCs/>
                <w:lang w:val="pl-PL"/>
              </w:rPr>
              <w:t>ustawy – systemie teleinformatycznym (Tracker 2.0) za pośrednictwem Punktu</w:t>
            </w:r>
          </w:p>
          <w:p w14:paraId="24FB9304" w14:textId="65484EDF" w:rsidR="00CD1E2E" w:rsidRPr="0008263A" w:rsidRDefault="00CD1E2E" w:rsidP="00CD1E2E">
            <w:pPr>
              <w:jc w:val="both"/>
              <w:rPr>
                <w:rFonts w:ascii="Arial" w:hAnsi="Arial" w:cs="Arial"/>
                <w:iCs/>
                <w:lang w:val="pl-PL"/>
              </w:rPr>
            </w:pPr>
            <w:r w:rsidRPr="0008263A">
              <w:rPr>
                <w:rFonts w:ascii="Arial" w:hAnsi="Arial" w:cs="Arial"/>
                <w:iCs/>
                <w:lang w:val="pl-PL"/>
              </w:rPr>
              <w:t>Informacji dla Przedsiębiorcy i wiąże się z przetwarzaniem danych osobowych osób</w:t>
            </w:r>
            <w:r w:rsidR="00064D2A">
              <w:rPr>
                <w:rFonts w:ascii="Arial" w:hAnsi="Arial" w:cs="Arial"/>
                <w:iCs/>
                <w:lang w:val="pl-PL"/>
              </w:rPr>
              <w:t xml:space="preserve"> </w:t>
            </w:r>
            <w:r w:rsidRPr="0008263A">
              <w:rPr>
                <w:rFonts w:ascii="Arial" w:hAnsi="Arial" w:cs="Arial"/>
                <w:iCs/>
                <w:lang w:val="pl-PL"/>
              </w:rPr>
              <w:t>fizycznych. Odwołanie się do definicji systemu teleinformatycznego nie jest</w:t>
            </w:r>
            <w:r w:rsidR="00064D2A">
              <w:rPr>
                <w:rFonts w:ascii="Arial" w:hAnsi="Arial" w:cs="Arial"/>
                <w:iCs/>
                <w:lang w:val="pl-PL"/>
              </w:rPr>
              <w:t xml:space="preserve"> </w:t>
            </w:r>
            <w:r w:rsidRPr="0008263A">
              <w:rPr>
                <w:rFonts w:ascii="Arial" w:hAnsi="Arial" w:cs="Arial"/>
                <w:iCs/>
                <w:lang w:val="pl-PL"/>
              </w:rPr>
              <w:t>wystarczające z punktu widzenia realizacji przepisów dotyczących przetwarzania</w:t>
            </w:r>
            <w:r w:rsidR="00064D2A">
              <w:rPr>
                <w:rFonts w:ascii="Arial" w:hAnsi="Arial" w:cs="Arial"/>
                <w:iCs/>
                <w:lang w:val="pl-PL"/>
              </w:rPr>
              <w:t xml:space="preserve"> </w:t>
            </w:r>
            <w:r w:rsidRPr="0008263A">
              <w:rPr>
                <w:rFonts w:ascii="Arial" w:hAnsi="Arial" w:cs="Arial"/>
                <w:iCs/>
                <w:lang w:val="pl-PL"/>
              </w:rPr>
              <w:t>danych osobowych dla rejestrów publicznych. W uzasadnieniu do projektu ustawy</w:t>
            </w:r>
            <w:r w:rsidR="00064D2A">
              <w:rPr>
                <w:rFonts w:ascii="Arial" w:hAnsi="Arial" w:cs="Arial"/>
                <w:iCs/>
                <w:lang w:val="pl-PL"/>
              </w:rPr>
              <w:t xml:space="preserve"> </w:t>
            </w:r>
            <w:r w:rsidRPr="0008263A">
              <w:rPr>
                <w:rFonts w:ascii="Arial" w:hAnsi="Arial" w:cs="Arial"/>
                <w:iCs/>
                <w:lang w:val="pl-PL"/>
              </w:rPr>
              <w:t>wskazano, że „Jednym z istotnych celów nowego systemu jest poprawienie</w:t>
            </w:r>
            <w:r w:rsidR="00064D2A">
              <w:rPr>
                <w:rFonts w:ascii="Arial" w:hAnsi="Arial" w:cs="Arial"/>
                <w:iCs/>
                <w:lang w:val="pl-PL"/>
              </w:rPr>
              <w:t xml:space="preserve"> </w:t>
            </w:r>
            <w:r w:rsidRPr="0008263A">
              <w:rPr>
                <w:rFonts w:ascii="Arial" w:hAnsi="Arial" w:cs="Arial"/>
                <w:iCs/>
                <w:lang w:val="pl-PL"/>
              </w:rPr>
              <w:t>dostępności, funkcjonalności oraz dojrzałości e-usług przez umożliwienie</w:t>
            </w:r>
            <w:r w:rsidR="00064D2A">
              <w:rPr>
                <w:rFonts w:ascii="Arial" w:hAnsi="Arial" w:cs="Arial"/>
                <w:iCs/>
                <w:lang w:val="pl-PL"/>
              </w:rPr>
              <w:t xml:space="preserve"> </w:t>
            </w:r>
            <w:r w:rsidRPr="0008263A">
              <w:rPr>
                <w:rFonts w:ascii="Arial" w:hAnsi="Arial" w:cs="Arial"/>
                <w:iCs/>
                <w:lang w:val="pl-PL"/>
              </w:rPr>
              <w:t>przedsiębiorcom korzystania z e-usługi zamiast papierowego obiegu dokumentów przy</w:t>
            </w:r>
          </w:p>
          <w:p w14:paraId="5B32196F" w14:textId="75C80853" w:rsidR="00CD1E2E" w:rsidRPr="0008263A" w:rsidRDefault="00CD1E2E" w:rsidP="00CD1E2E">
            <w:pPr>
              <w:jc w:val="both"/>
              <w:rPr>
                <w:rFonts w:ascii="Arial" w:hAnsi="Arial" w:cs="Arial"/>
                <w:iCs/>
                <w:lang w:val="pl-PL"/>
              </w:rPr>
            </w:pPr>
            <w:r w:rsidRPr="0008263A">
              <w:rPr>
                <w:rFonts w:ascii="Arial" w:hAnsi="Arial" w:cs="Arial"/>
                <w:iCs/>
                <w:lang w:val="pl-PL"/>
              </w:rPr>
              <w:t xml:space="preserve">wydawaniu decyzji administracyjnych związanych z prowadzeniem obrotu z </w:t>
            </w:r>
            <w:r w:rsidRPr="0008263A">
              <w:rPr>
                <w:rFonts w:ascii="Arial" w:hAnsi="Arial" w:cs="Arial"/>
                <w:iCs/>
                <w:lang w:val="pl-PL"/>
              </w:rPr>
              <w:lastRenderedPageBreak/>
              <w:t>zagranicą</w:t>
            </w:r>
            <w:r w:rsidR="00064D2A">
              <w:rPr>
                <w:rFonts w:ascii="Arial" w:hAnsi="Arial" w:cs="Arial"/>
                <w:iCs/>
                <w:lang w:val="pl-PL"/>
              </w:rPr>
              <w:t xml:space="preserve"> </w:t>
            </w:r>
            <w:r w:rsidRPr="0008263A">
              <w:rPr>
                <w:rFonts w:ascii="Arial" w:hAnsi="Arial" w:cs="Arial"/>
                <w:iCs/>
                <w:lang w:val="pl-PL"/>
              </w:rPr>
              <w:t>towarami o znaczeniu strategicznym”. Przyjęcie kompleksowych i przejrzystych norm</w:t>
            </w:r>
          </w:p>
          <w:p w14:paraId="12972E76" w14:textId="59CBEE5B" w:rsidR="00CD1E2E" w:rsidRPr="0008263A" w:rsidRDefault="00CD1E2E" w:rsidP="00CD1E2E">
            <w:pPr>
              <w:jc w:val="both"/>
              <w:rPr>
                <w:rFonts w:ascii="Arial" w:hAnsi="Arial" w:cs="Arial"/>
                <w:iCs/>
                <w:lang w:val="pl-PL"/>
              </w:rPr>
            </w:pPr>
            <w:r w:rsidRPr="0008263A">
              <w:rPr>
                <w:rFonts w:ascii="Arial" w:hAnsi="Arial" w:cs="Arial"/>
                <w:iCs/>
                <w:lang w:val="pl-PL"/>
              </w:rPr>
              <w:t>prawnych w przedmiotowym zakresie zwłaszcza, gdy wiąże się to z wdrażaniem</w:t>
            </w:r>
            <w:r w:rsidR="00064D2A">
              <w:rPr>
                <w:rFonts w:ascii="Arial" w:hAnsi="Arial" w:cs="Arial"/>
                <w:iCs/>
                <w:lang w:val="pl-PL"/>
              </w:rPr>
              <w:t xml:space="preserve"> </w:t>
            </w:r>
            <w:r w:rsidRPr="0008263A">
              <w:rPr>
                <w:rFonts w:ascii="Arial" w:hAnsi="Arial" w:cs="Arial"/>
                <w:iCs/>
                <w:lang w:val="pl-PL"/>
              </w:rPr>
              <w:t>nowych rozwiązań technologicznych (usług), w tym związanych z wprowadzaniem do</w:t>
            </w:r>
          </w:p>
          <w:p w14:paraId="7DE5EA52" w14:textId="06ADB4D7" w:rsidR="00CD1E2E" w:rsidRPr="0008263A" w:rsidRDefault="00CD1E2E" w:rsidP="00CD1E2E">
            <w:pPr>
              <w:jc w:val="both"/>
              <w:rPr>
                <w:rFonts w:ascii="Arial" w:hAnsi="Arial" w:cs="Arial"/>
                <w:iCs/>
                <w:lang w:val="pl-PL"/>
              </w:rPr>
            </w:pPr>
            <w:r w:rsidRPr="0008263A">
              <w:rPr>
                <w:rFonts w:ascii="Arial" w:hAnsi="Arial" w:cs="Arial"/>
                <w:iCs/>
                <w:lang w:val="pl-PL"/>
              </w:rPr>
              <w:t>porządku prawnego praw i obowiązków zarówno dotyczących podmiotów danych, jak i</w:t>
            </w:r>
            <w:r w:rsidR="00064D2A">
              <w:rPr>
                <w:rFonts w:ascii="Arial" w:hAnsi="Arial" w:cs="Arial"/>
                <w:iCs/>
                <w:lang w:val="pl-PL"/>
              </w:rPr>
              <w:t xml:space="preserve"> </w:t>
            </w:r>
            <w:r w:rsidRPr="0008263A">
              <w:rPr>
                <w:rFonts w:ascii="Arial" w:hAnsi="Arial" w:cs="Arial"/>
                <w:iCs/>
                <w:lang w:val="pl-PL"/>
              </w:rPr>
              <w:t>wykonawców norm, poprzedzone powinno być testem prywatności, tj. projektowanie</w:t>
            </w:r>
          </w:p>
          <w:p w14:paraId="261181C0" w14:textId="5FA692C7" w:rsidR="00CD1E2E" w:rsidRPr="0008263A" w:rsidRDefault="00CD1E2E" w:rsidP="00CD1E2E">
            <w:pPr>
              <w:jc w:val="both"/>
              <w:rPr>
                <w:rFonts w:ascii="Arial" w:hAnsi="Arial" w:cs="Arial"/>
                <w:iCs/>
                <w:lang w:val="pl-PL"/>
              </w:rPr>
            </w:pPr>
            <w:r w:rsidRPr="0008263A">
              <w:rPr>
                <w:rFonts w:ascii="Arial" w:hAnsi="Arial" w:cs="Arial"/>
                <w:iCs/>
                <w:lang w:val="pl-PL"/>
              </w:rPr>
              <w:t>ochrony danych osobowych przy określaniu sposobów przetwarzania (art. 25 ust. 1</w:t>
            </w:r>
            <w:r w:rsidR="00064D2A">
              <w:rPr>
                <w:rFonts w:ascii="Arial" w:hAnsi="Arial" w:cs="Arial"/>
                <w:iCs/>
                <w:lang w:val="pl-PL"/>
              </w:rPr>
              <w:t xml:space="preserve"> </w:t>
            </w:r>
            <w:r w:rsidRPr="0008263A">
              <w:rPr>
                <w:rFonts w:ascii="Arial" w:hAnsi="Arial" w:cs="Arial"/>
                <w:iCs/>
                <w:lang w:val="pl-PL"/>
              </w:rPr>
              <w:t>rozporządzenia 2016/673), przeprowadzenie oceny skutków dla ochrony danych w</w:t>
            </w:r>
            <w:r w:rsidR="00064D2A">
              <w:rPr>
                <w:rFonts w:ascii="Arial" w:hAnsi="Arial" w:cs="Arial"/>
                <w:iCs/>
                <w:lang w:val="pl-PL"/>
              </w:rPr>
              <w:t xml:space="preserve"> </w:t>
            </w:r>
            <w:r w:rsidRPr="0008263A">
              <w:rPr>
                <w:rFonts w:ascii="Arial" w:hAnsi="Arial" w:cs="Arial"/>
                <w:iCs/>
                <w:lang w:val="pl-PL"/>
              </w:rPr>
              <w:t>związku z przyjęciem podstawy prawnej przetwarzania (art. 35 ust. 1 i 10</w:t>
            </w:r>
            <w:r w:rsidR="00064D2A">
              <w:rPr>
                <w:rFonts w:ascii="Arial" w:hAnsi="Arial" w:cs="Arial"/>
                <w:iCs/>
                <w:lang w:val="pl-PL"/>
              </w:rPr>
              <w:t xml:space="preserve"> </w:t>
            </w:r>
            <w:r w:rsidRPr="00064D2A">
              <w:rPr>
                <w:rFonts w:ascii="Arial" w:hAnsi="Arial" w:cs="Arial"/>
                <w:iCs/>
                <w:lang w:val="pl-PL"/>
              </w:rPr>
              <w:t>rozporządzenia 2016/679). Przy wypracowywaniu przepisów prawa związanego z</w:t>
            </w:r>
            <w:r w:rsidR="00064D2A">
              <w:rPr>
                <w:rFonts w:ascii="Arial" w:hAnsi="Arial" w:cs="Arial"/>
                <w:iCs/>
                <w:lang w:val="pl-PL"/>
              </w:rPr>
              <w:t xml:space="preserve"> </w:t>
            </w:r>
            <w:r w:rsidRPr="0008263A">
              <w:rPr>
                <w:rFonts w:ascii="Arial" w:hAnsi="Arial" w:cs="Arial"/>
                <w:iCs/>
                <w:lang w:val="pl-PL"/>
              </w:rPr>
              <w:t>użyciem nowo tworzonego systemu teleinformatycznego (Tracker 2.0), który ze</w:t>
            </w:r>
            <w:r w:rsidR="00064D2A">
              <w:rPr>
                <w:rFonts w:ascii="Arial" w:hAnsi="Arial" w:cs="Arial"/>
                <w:iCs/>
                <w:lang w:val="pl-PL"/>
              </w:rPr>
              <w:t xml:space="preserve"> </w:t>
            </w:r>
            <w:r w:rsidRPr="0008263A">
              <w:rPr>
                <w:rFonts w:ascii="Arial" w:hAnsi="Arial" w:cs="Arial"/>
                <w:iCs/>
                <w:lang w:val="pl-PL"/>
              </w:rPr>
              <w:t>względu na charakter, zakres, kontekst i cele dużym prawdopodobieństwem może</w:t>
            </w:r>
          </w:p>
          <w:p w14:paraId="4B4BB54B" w14:textId="5E48461E" w:rsidR="00CD1E2E" w:rsidRPr="0008263A" w:rsidRDefault="00CD1E2E" w:rsidP="00CD1E2E">
            <w:pPr>
              <w:jc w:val="both"/>
              <w:rPr>
                <w:rFonts w:ascii="Arial" w:hAnsi="Arial" w:cs="Arial"/>
                <w:iCs/>
                <w:lang w:val="pl-PL"/>
              </w:rPr>
            </w:pPr>
            <w:r w:rsidRPr="00064D2A">
              <w:rPr>
                <w:rFonts w:ascii="Arial" w:hAnsi="Arial" w:cs="Arial"/>
                <w:iCs/>
                <w:lang w:val="pl-PL"/>
              </w:rPr>
              <w:t>powodować wysokie ryzyko naruszenia praw lub wolności osób fizycznych, pożądanym jest dokonywanie oceny skutków dla ochrony danych, jej wyników i wpływu na kształt i</w:t>
            </w:r>
            <w:r w:rsidR="00064D2A">
              <w:rPr>
                <w:rFonts w:ascii="Arial" w:hAnsi="Arial" w:cs="Arial"/>
                <w:iCs/>
                <w:lang w:val="pl-PL"/>
              </w:rPr>
              <w:t xml:space="preserve"> </w:t>
            </w:r>
            <w:r w:rsidRPr="0008263A">
              <w:rPr>
                <w:rFonts w:ascii="Arial" w:hAnsi="Arial" w:cs="Arial"/>
                <w:iCs/>
                <w:lang w:val="pl-PL"/>
              </w:rPr>
              <w:t>treść określonych regulacji stanowiących o dokonywaniu operacji na danych</w:t>
            </w:r>
            <w:r w:rsidR="00064D2A">
              <w:rPr>
                <w:rFonts w:ascii="Arial" w:hAnsi="Arial" w:cs="Arial"/>
                <w:iCs/>
                <w:lang w:val="pl-PL"/>
              </w:rPr>
              <w:t xml:space="preserve"> </w:t>
            </w:r>
            <w:r w:rsidRPr="0008263A">
              <w:rPr>
                <w:rFonts w:ascii="Arial" w:hAnsi="Arial" w:cs="Arial"/>
                <w:iCs/>
                <w:lang w:val="pl-PL"/>
              </w:rPr>
              <w:t>osobowych.</w:t>
            </w:r>
          </w:p>
          <w:p w14:paraId="3276D311" w14:textId="77777777" w:rsidR="00CD1E2E" w:rsidRPr="0008263A" w:rsidRDefault="00CD1E2E" w:rsidP="00CD1E2E">
            <w:pPr>
              <w:jc w:val="both"/>
              <w:rPr>
                <w:rFonts w:ascii="Arial" w:hAnsi="Arial" w:cs="Arial"/>
                <w:iCs/>
                <w:lang w:val="pl-PL"/>
              </w:rPr>
            </w:pPr>
            <w:r w:rsidRPr="0008263A">
              <w:rPr>
                <w:rFonts w:ascii="Arial" w:hAnsi="Arial" w:cs="Arial"/>
                <w:iCs/>
                <w:lang w:val="pl-PL"/>
              </w:rPr>
              <w:t>Projektowanie regulacji związanej z wprowadzeniem nowego rejestru i</w:t>
            </w:r>
          </w:p>
          <w:p w14:paraId="138BFE55" w14:textId="77777777" w:rsidR="00CD1E2E" w:rsidRPr="0008263A" w:rsidRDefault="00CD1E2E" w:rsidP="00CD1E2E">
            <w:pPr>
              <w:jc w:val="both"/>
              <w:rPr>
                <w:rFonts w:ascii="Arial" w:hAnsi="Arial" w:cs="Arial"/>
                <w:iCs/>
                <w:lang w:val="pl-PL"/>
              </w:rPr>
            </w:pPr>
            <w:r w:rsidRPr="0008263A">
              <w:rPr>
                <w:rFonts w:ascii="Arial" w:hAnsi="Arial" w:cs="Arial"/>
                <w:iCs/>
                <w:lang w:val="pl-PL"/>
              </w:rPr>
              <w:t>systemu teleinformatycznego służącego do jego obsługi zawsze wymaga</w:t>
            </w:r>
          </w:p>
          <w:p w14:paraId="76EE0E37" w14:textId="167151A8" w:rsidR="00CD1E2E" w:rsidRPr="00064D2A" w:rsidRDefault="00CD1E2E" w:rsidP="00064D2A">
            <w:pPr>
              <w:jc w:val="both"/>
              <w:rPr>
                <w:rFonts w:ascii="Arial" w:hAnsi="Arial" w:cs="Arial"/>
                <w:b/>
                <w:bCs/>
                <w:lang w:val="pl-PL"/>
              </w:rPr>
            </w:pPr>
            <w:r w:rsidRPr="0008263A">
              <w:rPr>
                <w:rFonts w:ascii="Arial" w:hAnsi="Arial" w:cs="Arial"/>
                <w:iCs/>
                <w:lang w:val="pl-PL"/>
              </w:rPr>
              <w:t>dokonania oceny skutków dla ochrony danych, o której wyżej mowa, gdyż jest ona</w:t>
            </w:r>
            <w:r w:rsidR="00064D2A">
              <w:rPr>
                <w:rFonts w:ascii="Arial" w:hAnsi="Arial" w:cs="Arial"/>
                <w:iCs/>
                <w:lang w:val="pl-PL"/>
              </w:rPr>
              <w:t xml:space="preserve"> </w:t>
            </w:r>
            <w:r w:rsidRPr="0008263A">
              <w:rPr>
                <w:rFonts w:ascii="Arial" w:hAnsi="Arial" w:cs="Arial"/>
                <w:iCs/>
                <w:lang w:val="pl-PL"/>
              </w:rPr>
              <w:t xml:space="preserve">pomocna w dokonaniu oceny zgodności planowanych rozwiązań z </w:t>
            </w:r>
            <w:r w:rsidRPr="0008263A">
              <w:rPr>
                <w:rFonts w:ascii="Arial" w:hAnsi="Arial" w:cs="Arial"/>
                <w:iCs/>
                <w:lang w:val="pl-PL"/>
              </w:rPr>
              <w:lastRenderedPageBreak/>
              <w:t>przepisami ogólnego</w:t>
            </w:r>
            <w:r w:rsidR="00064D2A">
              <w:rPr>
                <w:rFonts w:ascii="Arial" w:hAnsi="Arial" w:cs="Arial"/>
                <w:iCs/>
                <w:lang w:val="pl-PL"/>
              </w:rPr>
              <w:t xml:space="preserve"> </w:t>
            </w:r>
            <w:r w:rsidRPr="0008263A">
              <w:rPr>
                <w:rFonts w:ascii="Arial" w:hAnsi="Arial" w:cs="Arial"/>
                <w:iCs/>
                <w:lang w:val="pl-PL"/>
              </w:rPr>
              <w:t>rozporządzania o ochronie danych osobowych, w tym zasadami ochrony danych</w:t>
            </w:r>
            <w:r w:rsidR="00064D2A">
              <w:rPr>
                <w:rFonts w:ascii="Arial" w:hAnsi="Arial" w:cs="Arial"/>
                <w:iCs/>
                <w:lang w:val="pl-PL"/>
              </w:rPr>
              <w:t xml:space="preserve"> </w:t>
            </w:r>
            <w:r w:rsidRPr="00064D2A">
              <w:rPr>
                <w:rFonts w:ascii="Arial" w:hAnsi="Arial" w:cs="Arial"/>
                <w:iCs/>
                <w:lang w:val="pl-PL"/>
              </w:rPr>
              <w:t>osobowych w rozumieniu tych przepisów.</w:t>
            </w:r>
          </w:p>
        </w:tc>
        <w:tc>
          <w:tcPr>
            <w:tcW w:w="2693" w:type="dxa"/>
          </w:tcPr>
          <w:p w14:paraId="25A44294" w14:textId="77777777" w:rsidR="00CD1E2E" w:rsidRPr="00064D2A" w:rsidRDefault="00CD1E2E" w:rsidP="00CD1E2E">
            <w:pPr>
              <w:autoSpaceDE w:val="0"/>
              <w:autoSpaceDN w:val="0"/>
              <w:adjustRightInd w:val="0"/>
              <w:spacing w:line="300" w:lineRule="auto"/>
              <w:jc w:val="both"/>
              <w:rPr>
                <w:rFonts w:ascii="Arial" w:hAnsi="Arial" w:cs="Arial"/>
                <w:b/>
                <w:bCs/>
                <w:lang w:val="pl-PL"/>
              </w:rPr>
            </w:pPr>
          </w:p>
        </w:tc>
        <w:tc>
          <w:tcPr>
            <w:tcW w:w="4111" w:type="dxa"/>
          </w:tcPr>
          <w:p w14:paraId="66E8A315" w14:textId="77777777" w:rsidR="00CD1E2E" w:rsidRPr="00064D2A" w:rsidRDefault="00CD1E2E" w:rsidP="00CD1E2E">
            <w:pPr>
              <w:autoSpaceDE w:val="0"/>
              <w:autoSpaceDN w:val="0"/>
              <w:adjustRightInd w:val="0"/>
              <w:jc w:val="both"/>
              <w:rPr>
                <w:rFonts w:ascii="Arial" w:hAnsi="Arial" w:cs="Arial"/>
                <w:b/>
                <w:bCs/>
                <w:lang w:val="pl-PL"/>
              </w:rPr>
            </w:pPr>
            <w:r w:rsidRPr="00064D2A">
              <w:rPr>
                <w:rFonts w:ascii="Arial" w:hAnsi="Arial" w:cs="Arial"/>
                <w:b/>
                <w:bCs/>
                <w:lang w:val="pl-PL"/>
              </w:rPr>
              <w:t xml:space="preserve">Opinia przyjęta  - </w:t>
            </w:r>
          </w:p>
          <w:p w14:paraId="05C55D6F" w14:textId="77777777" w:rsidR="00CD1E2E" w:rsidRPr="00064D2A" w:rsidRDefault="00CD1E2E" w:rsidP="00CD1E2E">
            <w:pPr>
              <w:autoSpaceDE w:val="0"/>
              <w:autoSpaceDN w:val="0"/>
              <w:adjustRightInd w:val="0"/>
              <w:jc w:val="both"/>
              <w:rPr>
                <w:rFonts w:ascii="Arial" w:hAnsi="Arial" w:cs="Arial"/>
                <w:b/>
                <w:bCs/>
                <w:lang w:val="pl-PL"/>
              </w:rPr>
            </w:pPr>
          </w:p>
          <w:p w14:paraId="356F2479" w14:textId="7F9E2803" w:rsidR="00CD1E2E" w:rsidRPr="00064D2A" w:rsidRDefault="00CD1E2E" w:rsidP="00CD1E2E">
            <w:pPr>
              <w:autoSpaceDE w:val="0"/>
              <w:autoSpaceDN w:val="0"/>
              <w:adjustRightInd w:val="0"/>
              <w:jc w:val="both"/>
              <w:rPr>
                <w:rFonts w:ascii="Arial" w:hAnsi="Arial" w:cs="Arial"/>
                <w:b/>
                <w:bCs/>
                <w:lang w:val="pl-PL"/>
              </w:rPr>
            </w:pPr>
            <w:r w:rsidRPr="00064D2A">
              <w:rPr>
                <w:rFonts w:ascii="Arial" w:hAnsi="Arial" w:cs="Arial"/>
                <w:b/>
                <w:bCs/>
                <w:lang w:val="pl-PL"/>
              </w:rPr>
              <w:t>MRiT dziękuje za przedstawienie opinii.</w:t>
            </w:r>
          </w:p>
        </w:tc>
      </w:tr>
      <w:tr w:rsidR="00CD1E2E" w:rsidRPr="00064D2A" w14:paraId="608125BC" w14:textId="77777777" w:rsidTr="00064D2A">
        <w:tc>
          <w:tcPr>
            <w:tcW w:w="562" w:type="dxa"/>
          </w:tcPr>
          <w:p w14:paraId="69163E5A" w14:textId="71751360" w:rsidR="00CD1E2E" w:rsidRPr="00064D2A" w:rsidRDefault="00CD1E2E" w:rsidP="00CD1E2E">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lastRenderedPageBreak/>
              <w:t>2</w:t>
            </w:r>
            <w:r w:rsidR="00807E88">
              <w:rPr>
                <w:rFonts w:ascii="Arial" w:hAnsi="Arial" w:cs="Arial"/>
                <w:b/>
                <w:bCs/>
                <w:lang w:val="pl-PL"/>
              </w:rPr>
              <w:t>5</w:t>
            </w:r>
            <w:r w:rsidRPr="00064D2A">
              <w:rPr>
                <w:rFonts w:ascii="Arial" w:hAnsi="Arial" w:cs="Arial"/>
                <w:b/>
                <w:bCs/>
                <w:lang w:val="pl-PL"/>
              </w:rPr>
              <w:t>.</w:t>
            </w:r>
          </w:p>
        </w:tc>
        <w:tc>
          <w:tcPr>
            <w:tcW w:w="1333" w:type="dxa"/>
          </w:tcPr>
          <w:p w14:paraId="1562FD81" w14:textId="6981C3C5" w:rsidR="00CD1E2E" w:rsidRPr="00064D2A" w:rsidRDefault="00CD1E2E" w:rsidP="00CD1E2E">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UODO</w:t>
            </w:r>
          </w:p>
        </w:tc>
        <w:tc>
          <w:tcPr>
            <w:tcW w:w="1395" w:type="dxa"/>
          </w:tcPr>
          <w:p w14:paraId="11A40C8B" w14:textId="3B90FD6A" w:rsidR="00CD1E2E" w:rsidRPr="00064D2A" w:rsidRDefault="001B6DB3" w:rsidP="00CD1E2E">
            <w:pPr>
              <w:autoSpaceDE w:val="0"/>
              <w:autoSpaceDN w:val="0"/>
              <w:adjustRightInd w:val="0"/>
              <w:spacing w:line="300" w:lineRule="auto"/>
              <w:jc w:val="both"/>
              <w:rPr>
                <w:rFonts w:ascii="Arial" w:hAnsi="Arial" w:cs="Arial"/>
                <w:b/>
                <w:bCs/>
                <w:lang w:val="pl-PL"/>
              </w:rPr>
            </w:pPr>
            <w:r w:rsidRPr="00064D2A">
              <w:rPr>
                <w:rFonts w:ascii="Arial" w:hAnsi="Arial" w:cs="Arial"/>
                <w:b/>
                <w:bCs/>
                <w:iCs/>
                <w:lang w:val="pl-PL"/>
              </w:rPr>
              <w:t>A</w:t>
            </w:r>
            <w:r w:rsidRPr="006D6DCF">
              <w:rPr>
                <w:rFonts w:ascii="Arial" w:hAnsi="Arial" w:cs="Arial"/>
                <w:b/>
                <w:bCs/>
                <w:iCs/>
                <w:lang w:val="pl-PL"/>
              </w:rPr>
              <w:t xml:space="preserve">rt. 1 pkt </w:t>
            </w:r>
            <w:r>
              <w:rPr>
                <w:rFonts w:ascii="Arial" w:hAnsi="Arial" w:cs="Arial"/>
                <w:b/>
                <w:bCs/>
                <w:iCs/>
                <w:lang w:val="pl-PL"/>
              </w:rPr>
              <w:t>6</w:t>
            </w:r>
            <w:r w:rsidRPr="006D6DCF">
              <w:rPr>
                <w:rFonts w:ascii="Arial" w:hAnsi="Arial" w:cs="Arial"/>
                <w:b/>
                <w:bCs/>
                <w:iCs/>
                <w:lang w:val="pl-PL"/>
              </w:rPr>
              <w:t xml:space="preserve"> lit. a</w:t>
            </w:r>
            <w:r w:rsidRPr="00064D2A">
              <w:rPr>
                <w:rFonts w:ascii="Arial" w:hAnsi="Arial" w:cs="Arial"/>
                <w:b/>
                <w:bCs/>
                <w:iCs/>
                <w:lang w:val="pl-PL"/>
              </w:rPr>
              <w:t xml:space="preserve"> - </w:t>
            </w:r>
            <w:r w:rsidRPr="006D6DCF">
              <w:rPr>
                <w:rFonts w:ascii="Arial" w:hAnsi="Arial" w:cs="Arial"/>
                <w:b/>
                <w:bCs/>
                <w:iCs/>
                <w:lang w:val="pl-PL"/>
              </w:rPr>
              <w:t xml:space="preserve">w </w:t>
            </w:r>
            <w:r w:rsidRPr="00064D2A">
              <w:rPr>
                <w:rFonts w:ascii="Arial" w:hAnsi="Arial" w:cs="Arial"/>
                <w:b/>
                <w:bCs/>
                <w:iCs/>
                <w:lang w:val="pl-PL"/>
              </w:rPr>
              <w:t xml:space="preserve">odniesieniu do </w:t>
            </w:r>
            <w:r w:rsidRPr="006D6DCF">
              <w:rPr>
                <w:rFonts w:ascii="Arial" w:hAnsi="Arial" w:cs="Arial"/>
                <w:b/>
                <w:bCs/>
                <w:iCs/>
                <w:lang w:val="pl-PL"/>
              </w:rPr>
              <w:t>art.</w:t>
            </w:r>
            <w:r>
              <w:rPr>
                <w:rFonts w:ascii="Arial" w:hAnsi="Arial" w:cs="Arial"/>
                <w:b/>
                <w:bCs/>
                <w:iCs/>
                <w:lang w:val="pl-PL"/>
              </w:rPr>
              <w:t xml:space="preserve"> 9</w:t>
            </w:r>
            <w:r w:rsidRPr="006D6DCF">
              <w:rPr>
                <w:rFonts w:ascii="Arial" w:hAnsi="Arial" w:cs="Arial"/>
                <w:b/>
                <w:bCs/>
                <w:iCs/>
                <w:lang w:val="pl-PL"/>
              </w:rPr>
              <w:t xml:space="preserve"> ust. </w:t>
            </w:r>
            <w:r>
              <w:rPr>
                <w:rFonts w:ascii="Arial" w:hAnsi="Arial" w:cs="Arial"/>
                <w:b/>
                <w:bCs/>
                <w:iCs/>
                <w:lang w:val="pl-PL"/>
              </w:rPr>
              <w:t>2</w:t>
            </w:r>
            <w:r w:rsidRPr="006D6DCF">
              <w:rPr>
                <w:rFonts w:ascii="Arial" w:hAnsi="Arial" w:cs="Arial"/>
                <w:b/>
                <w:bCs/>
                <w:iCs/>
                <w:lang w:val="pl-PL"/>
              </w:rPr>
              <w:t xml:space="preserve"> </w:t>
            </w:r>
            <w:r>
              <w:rPr>
                <w:rFonts w:ascii="Arial" w:hAnsi="Arial" w:cs="Arial"/>
                <w:b/>
                <w:bCs/>
                <w:iCs/>
                <w:lang w:val="pl-PL"/>
              </w:rPr>
              <w:t xml:space="preserve">pkt 11 </w:t>
            </w:r>
            <w:r w:rsidRPr="006D6DCF">
              <w:rPr>
                <w:rFonts w:ascii="Arial" w:hAnsi="Arial" w:cs="Arial"/>
                <w:b/>
                <w:bCs/>
                <w:iCs/>
                <w:lang w:val="pl-PL"/>
              </w:rPr>
              <w:t>ustawy</w:t>
            </w:r>
            <w:r w:rsidRPr="00064D2A">
              <w:rPr>
                <w:rFonts w:ascii="Arial" w:hAnsi="Arial" w:cs="Arial"/>
                <w:b/>
                <w:bCs/>
                <w:iCs/>
                <w:lang w:val="pl-PL"/>
              </w:rPr>
              <w:t xml:space="preserve"> o obrocie</w:t>
            </w:r>
          </w:p>
        </w:tc>
        <w:tc>
          <w:tcPr>
            <w:tcW w:w="3793" w:type="dxa"/>
          </w:tcPr>
          <w:p w14:paraId="0D6C8A4C" w14:textId="77777777" w:rsidR="00064D2A" w:rsidRPr="0008263A" w:rsidRDefault="00064D2A" w:rsidP="00064D2A">
            <w:pPr>
              <w:jc w:val="both"/>
              <w:rPr>
                <w:rFonts w:ascii="Arial" w:hAnsi="Arial" w:cs="Arial"/>
                <w:iCs/>
                <w:lang w:val="pl-PL"/>
              </w:rPr>
            </w:pPr>
            <w:r w:rsidRPr="0008263A">
              <w:rPr>
                <w:rFonts w:ascii="Arial" w:hAnsi="Arial" w:cs="Arial"/>
                <w:iCs/>
                <w:lang w:val="pl-PL"/>
              </w:rPr>
              <w:t>W art. 9 ust. 2 ustawy dodawany jest pkt 11 o treści: „Wniosek o zezwolenie</w:t>
            </w:r>
          </w:p>
          <w:p w14:paraId="2570DCC2" w14:textId="77B6B544" w:rsidR="00064D2A" w:rsidRPr="0008263A" w:rsidRDefault="00064D2A" w:rsidP="00064D2A">
            <w:pPr>
              <w:jc w:val="both"/>
              <w:rPr>
                <w:rFonts w:ascii="Arial" w:hAnsi="Arial" w:cs="Arial"/>
                <w:iCs/>
                <w:lang w:val="pl-PL"/>
              </w:rPr>
            </w:pPr>
            <w:r w:rsidRPr="0008263A">
              <w:rPr>
                <w:rFonts w:ascii="Arial" w:hAnsi="Arial" w:cs="Arial"/>
                <w:iCs/>
                <w:lang w:val="pl-PL"/>
              </w:rPr>
              <w:t>zawiera dane osoby odpowiedzialnej u wnioskodawcy za koordynację kontroli obrotu</w:t>
            </w:r>
            <w:r w:rsidRPr="00ED6F22">
              <w:rPr>
                <w:rFonts w:ascii="Arial" w:hAnsi="Arial" w:cs="Arial"/>
                <w:iCs/>
                <w:lang w:val="pl-PL"/>
              </w:rPr>
              <w:t xml:space="preserve"> </w:t>
            </w:r>
            <w:r w:rsidRPr="0008263A">
              <w:rPr>
                <w:rFonts w:ascii="Arial" w:hAnsi="Arial" w:cs="Arial"/>
                <w:iCs/>
                <w:lang w:val="pl-PL"/>
              </w:rPr>
              <w:t>towarami o znaczeniu strategicznym, w tym jej imię i nazwisko, stanowisko, numer</w:t>
            </w:r>
            <w:r w:rsidRPr="00ED6F22">
              <w:rPr>
                <w:rFonts w:ascii="Arial" w:hAnsi="Arial" w:cs="Arial"/>
                <w:iCs/>
                <w:lang w:val="pl-PL"/>
              </w:rPr>
              <w:t xml:space="preserve"> </w:t>
            </w:r>
            <w:r w:rsidRPr="0008263A">
              <w:rPr>
                <w:rFonts w:ascii="Arial" w:hAnsi="Arial" w:cs="Arial"/>
                <w:iCs/>
                <w:lang w:val="pl-PL"/>
              </w:rPr>
              <w:t>telefonu oraz adres poczty elektronicznej”. Proponowane rozwiązanie jest nieprecyzyjne</w:t>
            </w:r>
          </w:p>
          <w:p w14:paraId="5D81D955" w14:textId="796E459B" w:rsidR="00CD1E2E" w:rsidRPr="00ED6F22" w:rsidRDefault="00064D2A" w:rsidP="00064D2A">
            <w:pPr>
              <w:jc w:val="both"/>
              <w:rPr>
                <w:rFonts w:ascii="Arial" w:hAnsi="Arial" w:cs="Arial"/>
                <w:lang w:val="pl-PL"/>
              </w:rPr>
            </w:pPr>
            <w:r w:rsidRPr="0008263A">
              <w:rPr>
                <w:rFonts w:ascii="Arial" w:hAnsi="Arial" w:cs="Arial"/>
                <w:iCs/>
                <w:lang w:val="pl-PL"/>
              </w:rPr>
              <w:t>– zasadnym byłoby takie jego przeformułowanie, aby regulacja odnosiła się do numeru</w:t>
            </w:r>
            <w:r w:rsidRPr="00ED6F22">
              <w:rPr>
                <w:rFonts w:ascii="Arial" w:hAnsi="Arial" w:cs="Arial"/>
                <w:iCs/>
                <w:lang w:val="pl-PL"/>
              </w:rPr>
              <w:t xml:space="preserve"> </w:t>
            </w:r>
            <w:r w:rsidRPr="0008263A">
              <w:rPr>
                <w:rFonts w:ascii="Arial" w:hAnsi="Arial" w:cs="Arial"/>
                <w:iCs/>
                <w:lang w:val="pl-PL"/>
              </w:rPr>
              <w:t>telefonu i adresu poczty elektronicznej prowadzonej przez wnioskodawcę działalności,</w:t>
            </w:r>
            <w:r w:rsidRPr="00ED6F22">
              <w:rPr>
                <w:rFonts w:ascii="Arial" w:hAnsi="Arial" w:cs="Arial"/>
                <w:iCs/>
                <w:lang w:val="pl-PL"/>
              </w:rPr>
              <w:t xml:space="preserve"> tj. danych o charakterze służbowym.</w:t>
            </w:r>
          </w:p>
        </w:tc>
        <w:tc>
          <w:tcPr>
            <w:tcW w:w="2693" w:type="dxa"/>
          </w:tcPr>
          <w:p w14:paraId="597B6B7E" w14:textId="77777777" w:rsidR="00CD1E2E" w:rsidRPr="00064D2A" w:rsidRDefault="00CD1E2E" w:rsidP="00CD1E2E">
            <w:pPr>
              <w:autoSpaceDE w:val="0"/>
              <w:autoSpaceDN w:val="0"/>
              <w:adjustRightInd w:val="0"/>
              <w:spacing w:line="300" w:lineRule="auto"/>
              <w:jc w:val="both"/>
              <w:rPr>
                <w:rFonts w:ascii="Arial" w:hAnsi="Arial" w:cs="Arial"/>
                <w:b/>
                <w:bCs/>
                <w:lang w:val="pl-PL"/>
              </w:rPr>
            </w:pPr>
          </w:p>
        </w:tc>
        <w:tc>
          <w:tcPr>
            <w:tcW w:w="4111" w:type="dxa"/>
          </w:tcPr>
          <w:p w14:paraId="6AA7A2C4" w14:textId="19B88B1A" w:rsidR="00CD1E2E" w:rsidRDefault="004E1924" w:rsidP="00CD1E2E">
            <w:pPr>
              <w:autoSpaceDE w:val="0"/>
              <w:autoSpaceDN w:val="0"/>
              <w:adjustRightInd w:val="0"/>
              <w:jc w:val="both"/>
              <w:rPr>
                <w:rFonts w:ascii="Arial" w:hAnsi="Arial" w:cs="Arial"/>
                <w:b/>
                <w:bCs/>
                <w:lang w:val="pl-PL"/>
              </w:rPr>
            </w:pPr>
            <w:r>
              <w:rPr>
                <w:rFonts w:ascii="Arial" w:hAnsi="Arial" w:cs="Arial"/>
                <w:b/>
                <w:bCs/>
                <w:lang w:val="pl-PL"/>
              </w:rPr>
              <w:t>Wyjaśnienie do opinii</w:t>
            </w:r>
            <w:r w:rsidR="001B6DB3">
              <w:rPr>
                <w:rFonts w:ascii="Arial" w:hAnsi="Arial" w:cs="Arial"/>
                <w:b/>
                <w:bCs/>
                <w:lang w:val="pl-PL"/>
              </w:rPr>
              <w:t>-</w:t>
            </w:r>
          </w:p>
          <w:p w14:paraId="1F189BE2" w14:textId="77777777" w:rsidR="001B6DB3" w:rsidRDefault="001B6DB3" w:rsidP="00CD1E2E">
            <w:pPr>
              <w:autoSpaceDE w:val="0"/>
              <w:autoSpaceDN w:val="0"/>
              <w:adjustRightInd w:val="0"/>
              <w:jc w:val="both"/>
              <w:rPr>
                <w:rFonts w:ascii="Arial" w:hAnsi="Arial" w:cs="Arial"/>
                <w:b/>
                <w:bCs/>
                <w:lang w:val="pl-PL"/>
              </w:rPr>
            </w:pPr>
          </w:p>
          <w:p w14:paraId="61B7BAAB" w14:textId="140F2BC2" w:rsidR="001B6DB3" w:rsidRPr="00165277" w:rsidRDefault="001B6DB3" w:rsidP="00CD1E2E">
            <w:pPr>
              <w:autoSpaceDE w:val="0"/>
              <w:autoSpaceDN w:val="0"/>
              <w:adjustRightInd w:val="0"/>
              <w:jc w:val="both"/>
              <w:rPr>
                <w:rFonts w:ascii="Arial" w:hAnsi="Arial" w:cs="Arial"/>
                <w:lang w:val="pl-PL"/>
              </w:rPr>
            </w:pPr>
            <w:r w:rsidRPr="00165277">
              <w:rPr>
                <w:rFonts w:ascii="Arial" w:hAnsi="Arial" w:cs="Arial"/>
                <w:lang w:val="pl-PL"/>
              </w:rPr>
              <w:t xml:space="preserve">Wyjaśniamy, że w ocenie </w:t>
            </w:r>
            <w:r w:rsidR="00165277">
              <w:rPr>
                <w:rFonts w:ascii="Arial" w:hAnsi="Arial" w:cs="Arial"/>
                <w:lang w:val="pl-PL"/>
              </w:rPr>
              <w:t xml:space="preserve">MRiT </w:t>
            </w:r>
            <w:r w:rsidRPr="00165277">
              <w:rPr>
                <w:rFonts w:ascii="Arial" w:hAnsi="Arial" w:cs="Arial"/>
                <w:lang w:val="pl-PL"/>
              </w:rPr>
              <w:t>obawa jest niezasadna. Jeżeli jest mowa o stanowisku tej osoby i dalej wymieniany jest adres e-</w:t>
            </w:r>
            <w:r w:rsidR="00165277">
              <w:rPr>
                <w:rFonts w:ascii="Arial" w:hAnsi="Arial" w:cs="Arial"/>
                <w:lang w:val="pl-PL"/>
              </w:rPr>
              <w:t>m</w:t>
            </w:r>
            <w:r w:rsidRPr="00165277">
              <w:rPr>
                <w:rFonts w:ascii="Arial" w:hAnsi="Arial" w:cs="Arial"/>
                <w:lang w:val="pl-PL"/>
              </w:rPr>
              <w:t xml:space="preserve">ail i nr telefonu, to </w:t>
            </w:r>
            <w:r w:rsidR="00165277" w:rsidRPr="00165277">
              <w:rPr>
                <w:rFonts w:ascii="Arial" w:hAnsi="Arial" w:cs="Arial"/>
                <w:lang w:val="pl-PL"/>
              </w:rPr>
              <w:t>niewątpliwym</w:t>
            </w:r>
            <w:r w:rsidRPr="00165277">
              <w:rPr>
                <w:rFonts w:ascii="Arial" w:hAnsi="Arial" w:cs="Arial"/>
                <w:lang w:val="pl-PL"/>
              </w:rPr>
              <w:t xml:space="preserve"> powinno być że chodzi również o dane służbowe do kontaktu. W  wielu obowiązujących innych przepisach </w:t>
            </w:r>
            <w:r w:rsidR="00165277" w:rsidRPr="00165277">
              <w:rPr>
                <w:rFonts w:ascii="Arial" w:hAnsi="Arial" w:cs="Arial"/>
                <w:lang w:val="pl-PL"/>
              </w:rPr>
              <w:t>są wskazane takie dane do kontaktu i nie zakłada się że chodzić może o dane prywatne osoby która je składa w związku z wykonywaną pracą.</w:t>
            </w:r>
          </w:p>
        </w:tc>
      </w:tr>
      <w:tr w:rsidR="00CD1E2E" w:rsidRPr="00064D2A" w14:paraId="30A5A497" w14:textId="77777777" w:rsidTr="00064D2A">
        <w:tc>
          <w:tcPr>
            <w:tcW w:w="562" w:type="dxa"/>
          </w:tcPr>
          <w:p w14:paraId="5591818D" w14:textId="19DF6AD7" w:rsidR="00CD1E2E" w:rsidRPr="00064D2A" w:rsidRDefault="00807E88" w:rsidP="00CD1E2E">
            <w:pPr>
              <w:autoSpaceDE w:val="0"/>
              <w:autoSpaceDN w:val="0"/>
              <w:adjustRightInd w:val="0"/>
              <w:spacing w:line="300" w:lineRule="auto"/>
              <w:jc w:val="both"/>
              <w:rPr>
                <w:rFonts w:ascii="Arial" w:hAnsi="Arial" w:cs="Arial"/>
                <w:b/>
                <w:bCs/>
                <w:lang w:val="pl-PL"/>
              </w:rPr>
            </w:pPr>
            <w:r>
              <w:rPr>
                <w:rFonts w:ascii="Arial" w:hAnsi="Arial" w:cs="Arial"/>
                <w:b/>
                <w:bCs/>
                <w:lang w:val="pl-PL"/>
              </w:rPr>
              <w:t>26</w:t>
            </w:r>
            <w:r w:rsidR="00CD1E2E" w:rsidRPr="00064D2A">
              <w:rPr>
                <w:rFonts w:ascii="Arial" w:hAnsi="Arial" w:cs="Arial"/>
                <w:b/>
                <w:bCs/>
                <w:lang w:val="pl-PL"/>
              </w:rPr>
              <w:t>.</w:t>
            </w:r>
          </w:p>
        </w:tc>
        <w:tc>
          <w:tcPr>
            <w:tcW w:w="1333" w:type="dxa"/>
          </w:tcPr>
          <w:p w14:paraId="4A23D969" w14:textId="32404C36" w:rsidR="00CD1E2E" w:rsidRPr="00064D2A" w:rsidRDefault="00CD1E2E" w:rsidP="00CD1E2E">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UODO</w:t>
            </w:r>
          </w:p>
        </w:tc>
        <w:tc>
          <w:tcPr>
            <w:tcW w:w="1395" w:type="dxa"/>
          </w:tcPr>
          <w:p w14:paraId="5C586D28" w14:textId="198C9F5F" w:rsidR="00CD1E2E" w:rsidRPr="00064D2A" w:rsidRDefault="001B6DB3" w:rsidP="00CD1E2E">
            <w:pPr>
              <w:autoSpaceDE w:val="0"/>
              <w:autoSpaceDN w:val="0"/>
              <w:adjustRightInd w:val="0"/>
              <w:spacing w:line="300" w:lineRule="auto"/>
              <w:jc w:val="both"/>
              <w:rPr>
                <w:rFonts w:ascii="Arial" w:hAnsi="Arial" w:cs="Arial"/>
                <w:b/>
                <w:bCs/>
                <w:lang w:val="pl-PL"/>
              </w:rPr>
            </w:pPr>
            <w:r w:rsidRPr="00064D2A">
              <w:rPr>
                <w:rFonts w:ascii="Arial" w:hAnsi="Arial" w:cs="Arial"/>
                <w:b/>
                <w:bCs/>
                <w:iCs/>
                <w:lang w:val="pl-PL"/>
              </w:rPr>
              <w:t>A</w:t>
            </w:r>
            <w:r w:rsidRPr="006D6DCF">
              <w:rPr>
                <w:rFonts w:ascii="Arial" w:hAnsi="Arial" w:cs="Arial"/>
                <w:b/>
                <w:bCs/>
                <w:iCs/>
                <w:lang w:val="pl-PL"/>
              </w:rPr>
              <w:t xml:space="preserve">rt. 1 pkt </w:t>
            </w:r>
            <w:r>
              <w:rPr>
                <w:rFonts w:ascii="Arial" w:hAnsi="Arial" w:cs="Arial"/>
                <w:b/>
                <w:bCs/>
                <w:iCs/>
                <w:lang w:val="pl-PL"/>
              </w:rPr>
              <w:t>6</w:t>
            </w:r>
            <w:r w:rsidRPr="006D6DCF">
              <w:rPr>
                <w:rFonts w:ascii="Arial" w:hAnsi="Arial" w:cs="Arial"/>
                <w:b/>
                <w:bCs/>
                <w:iCs/>
                <w:lang w:val="pl-PL"/>
              </w:rPr>
              <w:t xml:space="preserve"> lit. </w:t>
            </w:r>
            <w:r>
              <w:rPr>
                <w:rFonts w:ascii="Arial" w:hAnsi="Arial" w:cs="Arial"/>
                <w:b/>
                <w:bCs/>
                <w:iCs/>
                <w:lang w:val="pl-PL"/>
              </w:rPr>
              <w:t>c</w:t>
            </w:r>
            <w:r w:rsidRPr="00064D2A">
              <w:rPr>
                <w:rFonts w:ascii="Arial" w:hAnsi="Arial" w:cs="Arial"/>
                <w:b/>
                <w:bCs/>
                <w:iCs/>
                <w:lang w:val="pl-PL"/>
              </w:rPr>
              <w:t xml:space="preserve"> - </w:t>
            </w:r>
            <w:r w:rsidRPr="006D6DCF">
              <w:rPr>
                <w:rFonts w:ascii="Arial" w:hAnsi="Arial" w:cs="Arial"/>
                <w:b/>
                <w:bCs/>
                <w:iCs/>
                <w:lang w:val="pl-PL"/>
              </w:rPr>
              <w:t xml:space="preserve">w </w:t>
            </w:r>
            <w:r w:rsidRPr="00064D2A">
              <w:rPr>
                <w:rFonts w:ascii="Arial" w:hAnsi="Arial" w:cs="Arial"/>
                <w:b/>
                <w:bCs/>
                <w:iCs/>
                <w:lang w:val="pl-PL"/>
              </w:rPr>
              <w:t xml:space="preserve">odniesieniu do </w:t>
            </w:r>
            <w:r w:rsidRPr="006D6DCF">
              <w:rPr>
                <w:rFonts w:ascii="Arial" w:hAnsi="Arial" w:cs="Arial"/>
                <w:b/>
                <w:bCs/>
                <w:iCs/>
                <w:lang w:val="pl-PL"/>
              </w:rPr>
              <w:t>art.</w:t>
            </w:r>
            <w:r>
              <w:rPr>
                <w:rFonts w:ascii="Arial" w:hAnsi="Arial" w:cs="Arial"/>
                <w:b/>
                <w:bCs/>
                <w:iCs/>
                <w:lang w:val="pl-PL"/>
              </w:rPr>
              <w:t xml:space="preserve"> 9</w:t>
            </w:r>
            <w:r w:rsidRPr="006D6DCF">
              <w:rPr>
                <w:rFonts w:ascii="Arial" w:hAnsi="Arial" w:cs="Arial"/>
                <w:b/>
                <w:bCs/>
                <w:iCs/>
                <w:lang w:val="pl-PL"/>
              </w:rPr>
              <w:t xml:space="preserve"> ust. </w:t>
            </w:r>
            <w:r>
              <w:rPr>
                <w:rFonts w:ascii="Arial" w:hAnsi="Arial" w:cs="Arial"/>
                <w:b/>
                <w:bCs/>
                <w:iCs/>
                <w:lang w:val="pl-PL"/>
              </w:rPr>
              <w:t>6c</w:t>
            </w:r>
            <w:r w:rsidRPr="006D6DCF">
              <w:rPr>
                <w:rFonts w:ascii="Arial" w:hAnsi="Arial" w:cs="Arial"/>
                <w:b/>
                <w:bCs/>
                <w:iCs/>
                <w:lang w:val="pl-PL"/>
              </w:rPr>
              <w:t xml:space="preserve"> ustawy</w:t>
            </w:r>
            <w:r w:rsidRPr="00064D2A">
              <w:rPr>
                <w:rFonts w:ascii="Arial" w:hAnsi="Arial" w:cs="Arial"/>
                <w:b/>
                <w:bCs/>
                <w:iCs/>
                <w:lang w:val="pl-PL"/>
              </w:rPr>
              <w:t xml:space="preserve"> o obrocie</w:t>
            </w:r>
          </w:p>
        </w:tc>
        <w:tc>
          <w:tcPr>
            <w:tcW w:w="3793" w:type="dxa"/>
          </w:tcPr>
          <w:p w14:paraId="1F0BC77E" w14:textId="5DEFA0BC" w:rsidR="00064D2A" w:rsidRPr="0008263A" w:rsidRDefault="00064D2A" w:rsidP="00064D2A">
            <w:pPr>
              <w:jc w:val="both"/>
              <w:rPr>
                <w:rFonts w:ascii="Arial" w:hAnsi="Arial" w:cs="Arial"/>
                <w:iCs/>
                <w:lang w:val="pl-PL"/>
              </w:rPr>
            </w:pPr>
            <w:r w:rsidRPr="0008263A">
              <w:rPr>
                <w:rFonts w:ascii="Arial" w:hAnsi="Arial" w:cs="Arial"/>
                <w:iCs/>
                <w:lang w:val="pl-PL"/>
              </w:rPr>
              <w:t>W art. 9 dodawany ust. 6c ustawy przewiduje, że „Wnioskodawca przechowuje</w:t>
            </w:r>
            <w:r w:rsidRPr="00ED6F22">
              <w:rPr>
                <w:rFonts w:ascii="Arial" w:hAnsi="Arial" w:cs="Arial"/>
                <w:iCs/>
                <w:lang w:val="pl-PL"/>
              </w:rPr>
              <w:t xml:space="preserve"> </w:t>
            </w:r>
            <w:r w:rsidRPr="0008263A">
              <w:rPr>
                <w:rFonts w:ascii="Arial" w:hAnsi="Arial" w:cs="Arial"/>
                <w:iCs/>
                <w:lang w:val="pl-PL"/>
              </w:rPr>
              <w:t>dokumenty, o których mowa w ust. 6 pkt 4, przez okres 10 lat od dnia wydania</w:t>
            </w:r>
            <w:r w:rsidRPr="00ED6F22">
              <w:rPr>
                <w:rFonts w:ascii="Arial" w:hAnsi="Arial" w:cs="Arial"/>
                <w:iCs/>
                <w:lang w:val="pl-PL"/>
              </w:rPr>
              <w:t xml:space="preserve"> </w:t>
            </w:r>
            <w:r w:rsidRPr="0008263A">
              <w:rPr>
                <w:rFonts w:ascii="Arial" w:hAnsi="Arial" w:cs="Arial"/>
                <w:iCs/>
                <w:lang w:val="pl-PL"/>
              </w:rPr>
              <w:t>zezwolenia na obrót towarami o znaczeniu strategicznym.” Wyjaśnienia wymaga</w:t>
            </w:r>
            <w:r w:rsidRPr="00ED6F22">
              <w:rPr>
                <w:rFonts w:ascii="Arial" w:hAnsi="Arial" w:cs="Arial"/>
                <w:iCs/>
                <w:lang w:val="pl-PL"/>
              </w:rPr>
              <w:t xml:space="preserve"> </w:t>
            </w:r>
            <w:r w:rsidRPr="0008263A">
              <w:rPr>
                <w:rFonts w:ascii="Arial" w:hAnsi="Arial" w:cs="Arial"/>
                <w:iCs/>
                <w:lang w:val="pl-PL"/>
              </w:rPr>
              <w:t>dlaczego projektodawca zdecydował się na tak długi okres przechowywania</w:t>
            </w:r>
          </w:p>
          <w:p w14:paraId="21F0F54E" w14:textId="77777777" w:rsidR="00064D2A" w:rsidRPr="0008263A" w:rsidRDefault="00064D2A" w:rsidP="00064D2A">
            <w:pPr>
              <w:jc w:val="both"/>
              <w:rPr>
                <w:rFonts w:ascii="Arial" w:hAnsi="Arial" w:cs="Arial"/>
                <w:iCs/>
                <w:lang w:val="pl-PL"/>
              </w:rPr>
            </w:pPr>
            <w:r w:rsidRPr="0008263A">
              <w:rPr>
                <w:rFonts w:ascii="Arial" w:hAnsi="Arial" w:cs="Arial"/>
                <w:iCs/>
                <w:lang w:val="pl-PL"/>
              </w:rPr>
              <w:t>dokumentów, w tym danych osobowych. W projektowanym przepisie nie został</w:t>
            </w:r>
          </w:p>
          <w:p w14:paraId="2EC189B6" w14:textId="05379753" w:rsidR="00064D2A" w:rsidRPr="0008263A" w:rsidRDefault="00064D2A" w:rsidP="00064D2A">
            <w:pPr>
              <w:jc w:val="both"/>
              <w:rPr>
                <w:rFonts w:ascii="Arial" w:hAnsi="Arial" w:cs="Arial"/>
                <w:iCs/>
                <w:lang w:val="pl-PL"/>
              </w:rPr>
            </w:pPr>
            <w:r w:rsidRPr="0008263A">
              <w:rPr>
                <w:rFonts w:ascii="Arial" w:hAnsi="Arial" w:cs="Arial"/>
                <w:iCs/>
                <w:lang w:val="pl-PL"/>
              </w:rPr>
              <w:t>wskazany cel, któremu miałoby służyć przechowywanie danych osobowych przez okres</w:t>
            </w:r>
            <w:r w:rsidRPr="00ED6F22">
              <w:rPr>
                <w:rFonts w:ascii="Arial" w:hAnsi="Arial" w:cs="Arial"/>
                <w:iCs/>
                <w:lang w:val="pl-PL"/>
              </w:rPr>
              <w:t xml:space="preserve"> </w:t>
            </w:r>
            <w:r w:rsidRPr="0008263A">
              <w:rPr>
                <w:rFonts w:ascii="Arial" w:hAnsi="Arial" w:cs="Arial"/>
                <w:iCs/>
                <w:lang w:val="pl-PL"/>
              </w:rPr>
              <w:t>10 lat, a zatem nie jest możliwa ocena, na ile takie rozwiązanie jest uzasadnione i dla</w:t>
            </w:r>
            <w:r w:rsidRPr="00ED6F22">
              <w:rPr>
                <w:rFonts w:ascii="Arial" w:hAnsi="Arial" w:cs="Arial"/>
                <w:iCs/>
                <w:lang w:val="pl-PL"/>
              </w:rPr>
              <w:t xml:space="preserve"> </w:t>
            </w:r>
            <w:r w:rsidRPr="0008263A">
              <w:rPr>
                <w:rFonts w:ascii="Arial" w:hAnsi="Arial" w:cs="Arial"/>
                <w:iCs/>
                <w:lang w:val="pl-PL"/>
              </w:rPr>
              <w:t>realizacji jakich celów jest niezbędne. Projektowane rozwiązanie wymaga powtórnej</w:t>
            </w:r>
            <w:r w:rsidRPr="00ED6F22">
              <w:rPr>
                <w:rFonts w:ascii="Arial" w:hAnsi="Arial" w:cs="Arial"/>
                <w:iCs/>
                <w:lang w:val="pl-PL"/>
              </w:rPr>
              <w:t xml:space="preserve"> </w:t>
            </w:r>
            <w:r w:rsidRPr="0008263A">
              <w:rPr>
                <w:rFonts w:ascii="Arial" w:hAnsi="Arial" w:cs="Arial"/>
                <w:iCs/>
                <w:lang w:val="pl-PL"/>
              </w:rPr>
              <w:t>analizy przez pryzmat art. 6 ust. 3 rozporządzenia 2016/679.</w:t>
            </w:r>
          </w:p>
          <w:p w14:paraId="47607378" w14:textId="40B4F6D6" w:rsidR="00CD1E2E" w:rsidRPr="00ED6F22" w:rsidRDefault="00064D2A" w:rsidP="00064D2A">
            <w:pPr>
              <w:jc w:val="both"/>
              <w:rPr>
                <w:rFonts w:ascii="Arial" w:hAnsi="Arial" w:cs="Arial"/>
                <w:lang w:val="pl-PL"/>
              </w:rPr>
            </w:pPr>
            <w:r w:rsidRPr="00ED6F22">
              <w:rPr>
                <w:rFonts w:ascii="Arial" w:hAnsi="Arial" w:cs="Arial"/>
                <w:iCs/>
                <w:lang w:val="pl-PL"/>
              </w:rPr>
              <w:t>Analogiczną uwagę należy podnieść do art. 4 projektu ustawy.</w:t>
            </w:r>
          </w:p>
        </w:tc>
        <w:tc>
          <w:tcPr>
            <w:tcW w:w="2693" w:type="dxa"/>
          </w:tcPr>
          <w:p w14:paraId="5A3A9790" w14:textId="77777777" w:rsidR="00CD1E2E" w:rsidRPr="00064D2A" w:rsidRDefault="00CD1E2E" w:rsidP="00CD1E2E">
            <w:pPr>
              <w:autoSpaceDE w:val="0"/>
              <w:autoSpaceDN w:val="0"/>
              <w:adjustRightInd w:val="0"/>
              <w:spacing w:line="300" w:lineRule="auto"/>
              <w:jc w:val="both"/>
              <w:rPr>
                <w:rFonts w:ascii="Arial" w:hAnsi="Arial" w:cs="Arial"/>
                <w:b/>
                <w:bCs/>
                <w:lang w:val="pl-PL"/>
              </w:rPr>
            </w:pPr>
          </w:p>
        </w:tc>
        <w:tc>
          <w:tcPr>
            <w:tcW w:w="4111" w:type="dxa"/>
          </w:tcPr>
          <w:p w14:paraId="607F0843" w14:textId="2F1824C3" w:rsidR="00CD1E2E" w:rsidRDefault="00165277" w:rsidP="00CD1E2E">
            <w:pPr>
              <w:autoSpaceDE w:val="0"/>
              <w:autoSpaceDN w:val="0"/>
              <w:adjustRightInd w:val="0"/>
              <w:jc w:val="both"/>
              <w:rPr>
                <w:rFonts w:ascii="Arial" w:hAnsi="Arial" w:cs="Arial"/>
                <w:b/>
                <w:bCs/>
                <w:lang w:val="pl-PL"/>
              </w:rPr>
            </w:pPr>
            <w:r>
              <w:rPr>
                <w:rFonts w:ascii="Arial" w:hAnsi="Arial" w:cs="Arial"/>
                <w:b/>
                <w:bCs/>
                <w:lang w:val="pl-PL"/>
              </w:rPr>
              <w:t>Opinia przyjęta</w:t>
            </w:r>
            <w:r w:rsidR="002143F8">
              <w:rPr>
                <w:rFonts w:ascii="Arial" w:hAnsi="Arial" w:cs="Arial"/>
                <w:b/>
                <w:bCs/>
                <w:lang w:val="pl-PL"/>
              </w:rPr>
              <w:t xml:space="preserve"> w następującym zakresie</w:t>
            </w:r>
            <w:r>
              <w:rPr>
                <w:rFonts w:ascii="Arial" w:hAnsi="Arial" w:cs="Arial"/>
                <w:b/>
                <w:bCs/>
                <w:lang w:val="pl-PL"/>
              </w:rPr>
              <w:t>-</w:t>
            </w:r>
          </w:p>
          <w:p w14:paraId="5F76F4A3" w14:textId="77777777" w:rsidR="00165277" w:rsidRDefault="00165277" w:rsidP="00CD1E2E">
            <w:pPr>
              <w:autoSpaceDE w:val="0"/>
              <w:autoSpaceDN w:val="0"/>
              <w:adjustRightInd w:val="0"/>
              <w:jc w:val="both"/>
              <w:rPr>
                <w:rFonts w:ascii="Arial" w:hAnsi="Arial" w:cs="Arial"/>
                <w:b/>
                <w:bCs/>
                <w:lang w:val="pl-PL"/>
              </w:rPr>
            </w:pPr>
          </w:p>
          <w:p w14:paraId="55477022" w14:textId="31BCE526" w:rsidR="00165277" w:rsidRPr="00165277" w:rsidRDefault="00165277" w:rsidP="00CD1E2E">
            <w:pPr>
              <w:autoSpaceDE w:val="0"/>
              <w:autoSpaceDN w:val="0"/>
              <w:adjustRightInd w:val="0"/>
              <w:jc w:val="both"/>
              <w:rPr>
                <w:rFonts w:ascii="Arial" w:hAnsi="Arial" w:cs="Arial"/>
                <w:lang w:val="pl-PL"/>
              </w:rPr>
            </w:pPr>
            <w:r>
              <w:rPr>
                <w:rFonts w:ascii="Arial" w:hAnsi="Arial" w:cs="Arial"/>
                <w:lang w:val="pl-PL"/>
              </w:rPr>
              <w:t>zostało u</w:t>
            </w:r>
            <w:r w:rsidRPr="00165277">
              <w:rPr>
                <w:rFonts w:ascii="Arial" w:hAnsi="Arial" w:cs="Arial"/>
                <w:lang w:val="pl-PL"/>
              </w:rPr>
              <w:t>szczegółowione w jakim celu wnioskodawca ma te dane przechowywać (możliwe kontrole i działania organów ścigania – dokumenty s</w:t>
            </w:r>
            <w:r>
              <w:rPr>
                <w:rFonts w:ascii="Arial" w:hAnsi="Arial" w:cs="Arial"/>
                <w:lang w:val="pl-PL"/>
              </w:rPr>
              <w:t>ą</w:t>
            </w:r>
            <w:r w:rsidRPr="00165277">
              <w:rPr>
                <w:rFonts w:ascii="Arial" w:hAnsi="Arial" w:cs="Arial"/>
                <w:lang w:val="pl-PL"/>
              </w:rPr>
              <w:t xml:space="preserve"> kluczowe w takich sprawach)</w:t>
            </w:r>
            <w:r>
              <w:rPr>
                <w:rFonts w:ascii="Arial" w:hAnsi="Arial" w:cs="Arial"/>
                <w:lang w:val="pl-PL"/>
              </w:rPr>
              <w:t>.</w:t>
            </w:r>
          </w:p>
        </w:tc>
      </w:tr>
      <w:tr w:rsidR="00CD1E2E" w:rsidRPr="00064D2A" w14:paraId="24B4D6C6" w14:textId="77777777" w:rsidTr="00064D2A">
        <w:tc>
          <w:tcPr>
            <w:tcW w:w="562" w:type="dxa"/>
          </w:tcPr>
          <w:p w14:paraId="5DA7FF55" w14:textId="4562F4E0" w:rsidR="00CD1E2E" w:rsidRPr="00064D2A" w:rsidRDefault="00807E88" w:rsidP="00CD1E2E">
            <w:pPr>
              <w:autoSpaceDE w:val="0"/>
              <w:autoSpaceDN w:val="0"/>
              <w:adjustRightInd w:val="0"/>
              <w:spacing w:line="300" w:lineRule="auto"/>
              <w:jc w:val="both"/>
              <w:rPr>
                <w:rFonts w:ascii="Arial" w:hAnsi="Arial" w:cs="Arial"/>
                <w:b/>
                <w:bCs/>
                <w:lang w:val="pl-PL"/>
              </w:rPr>
            </w:pPr>
            <w:r>
              <w:rPr>
                <w:rFonts w:ascii="Arial" w:hAnsi="Arial" w:cs="Arial"/>
                <w:b/>
                <w:bCs/>
                <w:lang w:val="pl-PL"/>
              </w:rPr>
              <w:lastRenderedPageBreak/>
              <w:t>27</w:t>
            </w:r>
            <w:r w:rsidR="00CD1E2E" w:rsidRPr="00064D2A">
              <w:rPr>
                <w:rFonts w:ascii="Arial" w:hAnsi="Arial" w:cs="Arial"/>
                <w:b/>
                <w:bCs/>
                <w:lang w:val="pl-PL"/>
              </w:rPr>
              <w:t>.</w:t>
            </w:r>
          </w:p>
        </w:tc>
        <w:tc>
          <w:tcPr>
            <w:tcW w:w="1333" w:type="dxa"/>
          </w:tcPr>
          <w:p w14:paraId="10FB4EDA" w14:textId="67B87FD1" w:rsidR="00CD1E2E" w:rsidRPr="00064D2A" w:rsidRDefault="00CD1E2E" w:rsidP="00CD1E2E">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UODO</w:t>
            </w:r>
          </w:p>
        </w:tc>
        <w:tc>
          <w:tcPr>
            <w:tcW w:w="1395" w:type="dxa"/>
          </w:tcPr>
          <w:p w14:paraId="140CB50C" w14:textId="4C2EAE98" w:rsidR="00CD1E2E" w:rsidRPr="00064D2A" w:rsidRDefault="00165277" w:rsidP="00CD1E2E">
            <w:pPr>
              <w:autoSpaceDE w:val="0"/>
              <w:autoSpaceDN w:val="0"/>
              <w:adjustRightInd w:val="0"/>
              <w:spacing w:line="300" w:lineRule="auto"/>
              <w:jc w:val="both"/>
              <w:rPr>
                <w:rFonts w:ascii="Arial" w:hAnsi="Arial" w:cs="Arial"/>
                <w:b/>
                <w:bCs/>
                <w:lang w:val="pl-PL"/>
              </w:rPr>
            </w:pPr>
            <w:r w:rsidRPr="00064D2A">
              <w:rPr>
                <w:rFonts w:ascii="Arial" w:hAnsi="Arial" w:cs="Arial"/>
                <w:b/>
                <w:bCs/>
                <w:iCs/>
                <w:lang w:val="pl-PL"/>
              </w:rPr>
              <w:t>A</w:t>
            </w:r>
            <w:r w:rsidRPr="006D6DCF">
              <w:rPr>
                <w:rFonts w:ascii="Arial" w:hAnsi="Arial" w:cs="Arial"/>
                <w:b/>
                <w:bCs/>
                <w:iCs/>
                <w:lang w:val="pl-PL"/>
              </w:rPr>
              <w:t xml:space="preserve">rt. 1 pkt </w:t>
            </w:r>
            <w:r>
              <w:rPr>
                <w:rFonts w:ascii="Arial" w:hAnsi="Arial" w:cs="Arial"/>
                <w:b/>
                <w:bCs/>
                <w:iCs/>
                <w:lang w:val="pl-PL"/>
              </w:rPr>
              <w:t>10</w:t>
            </w:r>
            <w:r w:rsidRPr="00064D2A">
              <w:rPr>
                <w:rFonts w:ascii="Arial" w:hAnsi="Arial" w:cs="Arial"/>
                <w:b/>
                <w:bCs/>
                <w:iCs/>
                <w:lang w:val="pl-PL"/>
              </w:rPr>
              <w:t xml:space="preserve"> - </w:t>
            </w:r>
            <w:r w:rsidRPr="006D6DCF">
              <w:rPr>
                <w:rFonts w:ascii="Arial" w:hAnsi="Arial" w:cs="Arial"/>
                <w:b/>
                <w:bCs/>
                <w:iCs/>
                <w:lang w:val="pl-PL"/>
              </w:rPr>
              <w:t xml:space="preserve">w </w:t>
            </w:r>
            <w:r w:rsidRPr="00064D2A">
              <w:rPr>
                <w:rFonts w:ascii="Arial" w:hAnsi="Arial" w:cs="Arial"/>
                <w:b/>
                <w:bCs/>
                <w:iCs/>
                <w:lang w:val="pl-PL"/>
              </w:rPr>
              <w:t xml:space="preserve">odniesieniu do </w:t>
            </w:r>
            <w:r>
              <w:rPr>
                <w:rFonts w:ascii="Arial" w:hAnsi="Arial" w:cs="Arial"/>
                <w:b/>
                <w:bCs/>
                <w:iCs/>
                <w:lang w:val="pl-PL"/>
              </w:rPr>
              <w:t xml:space="preserve">uchylanego art. 21 </w:t>
            </w:r>
            <w:r w:rsidRPr="006D6DCF">
              <w:rPr>
                <w:rFonts w:ascii="Arial" w:hAnsi="Arial" w:cs="Arial"/>
                <w:b/>
                <w:bCs/>
                <w:iCs/>
                <w:lang w:val="pl-PL"/>
              </w:rPr>
              <w:t>ustawy</w:t>
            </w:r>
            <w:r w:rsidRPr="00064D2A">
              <w:rPr>
                <w:rFonts w:ascii="Arial" w:hAnsi="Arial" w:cs="Arial"/>
                <w:b/>
                <w:bCs/>
                <w:iCs/>
                <w:lang w:val="pl-PL"/>
              </w:rPr>
              <w:t xml:space="preserve"> o obrocie</w:t>
            </w:r>
          </w:p>
        </w:tc>
        <w:tc>
          <w:tcPr>
            <w:tcW w:w="3793" w:type="dxa"/>
          </w:tcPr>
          <w:p w14:paraId="08EB606D" w14:textId="77777777" w:rsidR="00064D2A" w:rsidRPr="0008263A" w:rsidRDefault="00064D2A" w:rsidP="00064D2A">
            <w:pPr>
              <w:jc w:val="both"/>
              <w:rPr>
                <w:rFonts w:ascii="Arial" w:hAnsi="Arial" w:cs="Arial"/>
                <w:iCs/>
                <w:lang w:val="pl-PL"/>
              </w:rPr>
            </w:pPr>
            <w:r w:rsidRPr="0008263A">
              <w:rPr>
                <w:rFonts w:ascii="Arial" w:hAnsi="Arial" w:cs="Arial"/>
                <w:iCs/>
                <w:lang w:val="pl-PL"/>
              </w:rPr>
              <w:t>W związku z propozycją uchylenia art. 21 ustawy – dotyczącego prowadzenia</w:t>
            </w:r>
          </w:p>
          <w:p w14:paraId="48DEEB8C" w14:textId="77777777" w:rsidR="00064D2A" w:rsidRPr="0008263A" w:rsidRDefault="00064D2A" w:rsidP="00064D2A">
            <w:pPr>
              <w:jc w:val="both"/>
              <w:rPr>
                <w:rFonts w:ascii="Arial" w:hAnsi="Arial" w:cs="Arial"/>
                <w:iCs/>
                <w:lang w:val="pl-PL"/>
              </w:rPr>
            </w:pPr>
            <w:r w:rsidRPr="0008263A">
              <w:rPr>
                <w:rFonts w:ascii="Arial" w:hAnsi="Arial" w:cs="Arial"/>
                <w:iCs/>
                <w:lang w:val="pl-PL"/>
              </w:rPr>
              <w:t>przez organ kontroli rejestru udzielonych zezwoleń indywidualnych i globalnych –</w:t>
            </w:r>
          </w:p>
          <w:p w14:paraId="468A5B82" w14:textId="5B8791C3" w:rsidR="00CD1E2E" w:rsidRPr="00ED6F22" w:rsidRDefault="00064D2A" w:rsidP="00064D2A">
            <w:pPr>
              <w:jc w:val="both"/>
              <w:rPr>
                <w:rFonts w:ascii="Arial" w:hAnsi="Arial" w:cs="Arial"/>
                <w:lang w:val="pl-PL"/>
              </w:rPr>
            </w:pPr>
            <w:r w:rsidRPr="00ED6F22">
              <w:rPr>
                <w:rFonts w:ascii="Arial" w:hAnsi="Arial" w:cs="Arial"/>
                <w:iCs/>
                <w:lang w:val="pl-PL"/>
              </w:rPr>
              <w:t>wyjaśnienia wymaga sposób dalszego postępowania z dokumentacją (wnioski,</w:t>
            </w:r>
            <w:r w:rsidRPr="00ED6F22">
              <w:rPr>
                <w:rFonts w:ascii="ArialMT" w:hAnsi="ArialMT" w:cs="ArialMT"/>
                <w:sz w:val="24"/>
                <w:szCs w:val="24"/>
                <w:lang w:val="pl-PL"/>
              </w:rPr>
              <w:t xml:space="preserve"> </w:t>
            </w:r>
            <w:r w:rsidRPr="00ED6F22">
              <w:rPr>
                <w:rFonts w:ascii="Arial" w:hAnsi="Arial" w:cs="Arial"/>
                <w:iCs/>
                <w:lang w:val="pl-PL"/>
              </w:rPr>
              <w:t xml:space="preserve">zaświadczenia, pozwolenia) zawierającą dane osobowe, zawartą w dotychczasowym </w:t>
            </w:r>
            <w:r w:rsidRPr="0008263A">
              <w:rPr>
                <w:rFonts w:ascii="Arial" w:hAnsi="Arial" w:cs="Arial"/>
                <w:iCs/>
                <w:lang w:val="pl-PL"/>
              </w:rPr>
              <w:t>rejestrze, prowadzonym w innej – niż proponowana w dodawanym art. 27d ustawy –</w:t>
            </w:r>
            <w:r w:rsidRPr="00ED6F22">
              <w:rPr>
                <w:rFonts w:ascii="Arial" w:hAnsi="Arial" w:cs="Arial"/>
                <w:iCs/>
                <w:lang w:val="pl-PL"/>
              </w:rPr>
              <w:t xml:space="preserve"> </w:t>
            </w:r>
            <w:r w:rsidRPr="0008263A">
              <w:rPr>
                <w:rFonts w:ascii="Arial" w:hAnsi="Arial" w:cs="Arial"/>
                <w:iCs/>
                <w:lang w:val="pl-PL"/>
              </w:rPr>
              <w:t xml:space="preserve">formie. Celem zapewnienia stosowania zasady zgodności z prawem, rzetelności </w:t>
            </w:r>
            <w:r w:rsidRPr="00ED6F22">
              <w:rPr>
                <w:rFonts w:ascii="Arial" w:hAnsi="Arial" w:cs="Arial"/>
                <w:iCs/>
                <w:lang w:val="pl-PL"/>
              </w:rPr>
              <w:t xml:space="preserve">I </w:t>
            </w:r>
            <w:r w:rsidRPr="0008263A">
              <w:rPr>
                <w:rFonts w:ascii="Arial" w:hAnsi="Arial" w:cs="Arial"/>
                <w:iCs/>
                <w:lang w:val="pl-PL"/>
              </w:rPr>
              <w:t>przejrzystości (art. 5 ust. 1 lit. a6), ograniczenia przechowywania (art. 5 ust. 1 lit. e7),</w:t>
            </w:r>
            <w:r w:rsidRPr="00ED6F22">
              <w:rPr>
                <w:rFonts w:ascii="Arial" w:hAnsi="Arial" w:cs="Arial"/>
                <w:iCs/>
                <w:lang w:val="pl-PL"/>
              </w:rPr>
              <w:t xml:space="preserve"> </w:t>
            </w:r>
            <w:r w:rsidRPr="0008263A">
              <w:rPr>
                <w:rFonts w:ascii="Arial" w:hAnsi="Arial" w:cs="Arial"/>
                <w:iCs/>
                <w:lang w:val="pl-PL"/>
              </w:rPr>
              <w:t>integralności i poufności (art. 5 ust. 1 lit. f), a także rozliczalności (art. 5 ust. 2</w:t>
            </w:r>
            <w:r w:rsidRPr="00ED6F22">
              <w:rPr>
                <w:rFonts w:ascii="Arial" w:hAnsi="Arial" w:cs="Arial"/>
                <w:iCs/>
                <w:lang w:val="pl-PL"/>
              </w:rPr>
              <w:t xml:space="preserve"> rozporządzenia 2016/679) wskazane jest odniesienie się projektodawcy do tej kwestii. </w:t>
            </w:r>
          </w:p>
        </w:tc>
        <w:tc>
          <w:tcPr>
            <w:tcW w:w="2693" w:type="dxa"/>
          </w:tcPr>
          <w:p w14:paraId="44E57560" w14:textId="77777777" w:rsidR="00CD1E2E" w:rsidRPr="00064D2A" w:rsidRDefault="00CD1E2E" w:rsidP="00CD1E2E">
            <w:pPr>
              <w:autoSpaceDE w:val="0"/>
              <w:autoSpaceDN w:val="0"/>
              <w:adjustRightInd w:val="0"/>
              <w:spacing w:line="300" w:lineRule="auto"/>
              <w:jc w:val="both"/>
              <w:rPr>
                <w:rFonts w:ascii="Arial" w:hAnsi="Arial" w:cs="Arial"/>
                <w:b/>
                <w:bCs/>
                <w:lang w:val="pl-PL"/>
              </w:rPr>
            </w:pPr>
          </w:p>
        </w:tc>
        <w:tc>
          <w:tcPr>
            <w:tcW w:w="4111" w:type="dxa"/>
          </w:tcPr>
          <w:p w14:paraId="541CFD83" w14:textId="3E5DD0F5" w:rsidR="00CD1E2E" w:rsidRDefault="004E1924" w:rsidP="00CD1E2E">
            <w:pPr>
              <w:autoSpaceDE w:val="0"/>
              <w:autoSpaceDN w:val="0"/>
              <w:adjustRightInd w:val="0"/>
              <w:jc w:val="both"/>
              <w:rPr>
                <w:rFonts w:ascii="Arial" w:hAnsi="Arial" w:cs="Arial"/>
                <w:b/>
                <w:bCs/>
                <w:lang w:val="pl-PL"/>
              </w:rPr>
            </w:pPr>
            <w:r>
              <w:rPr>
                <w:rFonts w:ascii="Arial" w:hAnsi="Arial" w:cs="Arial"/>
                <w:b/>
                <w:bCs/>
                <w:lang w:val="pl-PL"/>
              </w:rPr>
              <w:t>Wyjaśnienie do opinii</w:t>
            </w:r>
            <w:r w:rsidR="00165277">
              <w:rPr>
                <w:rFonts w:ascii="Arial" w:hAnsi="Arial" w:cs="Arial"/>
                <w:b/>
                <w:bCs/>
                <w:lang w:val="pl-PL"/>
              </w:rPr>
              <w:t>-</w:t>
            </w:r>
          </w:p>
          <w:p w14:paraId="7FBFBEB6" w14:textId="77777777" w:rsidR="00165277" w:rsidRDefault="00165277" w:rsidP="00CD1E2E">
            <w:pPr>
              <w:autoSpaceDE w:val="0"/>
              <w:autoSpaceDN w:val="0"/>
              <w:adjustRightInd w:val="0"/>
              <w:jc w:val="both"/>
              <w:rPr>
                <w:rFonts w:ascii="Arial" w:hAnsi="Arial" w:cs="Arial"/>
                <w:b/>
                <w:bCs/>
                <w:lang w:val="pl-PL"/>
              </w:rPr>
            </w:pPr>
          </w:p>
          <w:p w14:paraId="480937F7" w14:textId="3821CA90" w:rsidR="00165277" w:rsidRPr="00165277" w:rsidRDefault="00165277" w:rsidP="00CD1E2E">
            <w:pPr>
              <w:autoSpaceDE w:val="0"/>
              <w:autoSpaceDN w:val="0"/>
              <w:adjustRightInd w:val="0"/>
              <w:jc w:val="both"/>
              <w:rPr>
                <w:rFonts w:ascii="Arial" w:hAnsi="Arial" w:cs="Arial"/>
                <w:lang w:val="pl-PL"/>
              </w:rPr>
            </w:pPr>
            <w:r>
              <w:rPr>
                <w:rFonts w:ascii="Arial" w:hAnsi="Arial" w:cs="Arial"/>
                <w:lang w:val="pl-PL"/>
              </w:rPr>
              <w:t>a</w:t>
            </w:r>
            <w:r w:rsidRPr="00165277">
              <w:rPr>
                <w:rFonts w:ascii="Arial" w:hAnsi="Arial" w:cs="Arial"/>
                <w:lang w:val="pl-PL"/>
              </w:rPr>
              <w:t xml:space="preserve">rt. 4 </w:t>
            </w:r>
            <w:r>
              <w:rPr>
                <w:rFonts w:ascii="Arial" w:hAnsi="Arial" w:cs="Arial"/>
                <w:lang w:val="pl-PL"/>
              </w:rPr>
              <w:t xml:space="preserve">projektu </w:t>
            </w:r>
            <w:r w:rsidRPr="00165277">
              <w:rPr>
                <w:rFonts w:ascii="Arial" w:hAnsi="Arial" w:cs="Arial"/>
                <w:lang w:val="pl-PL"/>
              </w:rPr>
              <w:t>ustawy reguluje tę kwestię</w:t>
            </w:r>
            <w:r>
              <w:rPr>
                <w:rFonts w:ascii="Arial" w:hAnsi="Arial" w:cs="Arial"/>
                <w:lang w:val="pl-PL"/>
              </w:rPr>
              <w:t>. W ocenie MRiT jest to wystarczające rozwiązanie.</w:t>
            </w:r>
          </w:p>
        </w:tc>
      </w:tr>
      <w:tr w:rsidR="00CD1E2E" w:rsidRPr="00064D2A" w14:paraId="5C2D988E" w14:textId="77777777" w:rsidTr="00064D2A">
        <w:tc>
          <w:tcPr>
            <w:tcW w:w="562" w:type="dxa"/>
          </w:tcPr>
          <w:p w14:paraId="440A7421" w14:textId="17B64239" w:rsidR="00CD1E2E" w:rsidRPr="00064D2A" w:rsidRDefault="00807E88" w:rsidP="00CD1E2E">
            <w:pPr>
              <w:autoSpaceDE w:val="0"/>
              <w:autoSpaceDN w:val="0"/>
              <w:adjustRightInd w:val="0"/>
              <w:spacing w:line="300" w:lineRule="auto"/>
              <w:jc w:val="both"/>
              <w:rPr>
                <w:rFonts w:ascii="Arial" w:hAnsi="Arial" w:cs="Arial"/>
                <w:b/>
                <w:bCs/>
                <w:lang w:val="pl-PL"/>
              </w:rPr>
            </w:pPr>
            <w:r>
              <w:rPr>
                <w:rFonts w:ascii="Arial" w:hAnsi="Arial" w:cs="Arial"/>
                <w:b/>
                <w:bCs/>
                <w:lang w:val="pl-PL"/>
              </w:rPr>
              <w:t>28</w:t>
            </w:r>
            <w:r w:rsidR="00CD1E2E" w:rsidRPr="00064D2A">
              <w:rPr>
                <w:rFonts w:ascii="Arial" w:hAnsi="Arial" w:cs="Arial"/>
                <w:b/>
                <w:bCs/>
                <w:lang w:val="pl-PL"/>
              </w:rPr>
              <w:t>.</w:t>
            </w:r>
          </w:p>
        </w:tc>
        <w:tc>
          <w:tcPr>
            <w:tcW w:w="1333" w:type="dxa"/>
          </w:tcPr>
          <w:p w14:paraId="60160195" w14:textId="39B0C136" w:rsidR="00CD1E2E" w:rsidRPr="00064D2A" w:rsidRDefault="00CD1E2E" w:rsidP="00CD1E2E">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UODO</w:t>
            </w:r>
          </w:p>
        </w:tc>
        <w:tc>
          <w:tcPr>
            <w:tcW w:w="1395" w:type="dxa"/>
          </w:tcPr>
          <w:p w14:paraId="4747AB0A" w14:textId="5FBAEAC5" w:rsidR="00CD1E2E" w:rsidRPr="00064D2A" w:rsidRDefault="00ED6F22" w:rsidP="00CD1E2E">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 xml:space="preserve">Art. 1 pkt 16 (po zmianie pkt projektu będzie to pkt 18)  - w odniesieniu do art. 27d ust. </w:t>
            </w:r>
            <w:r>
              <w:rPr>
                <w:rFonts w:ascii="Arial" w:hAnsi="Arial" w:cs="Arial"/>
                <w:b/>
                <w:bCs/>
                <w:lang w:val="pl-PL"/>
              </w:rPr>
              <w:t>1</w:t>
            </w:r>
            <w:r w:rsidRPr="00064D2A">
              <w:rPr>
                <w:rFonts w:ascii="Arial" w:hAnsi="Arial" w:cs="Arial"/>
                <w:b/>
                <w:bCs/>
                <w:lang w:val="pl-PL"/>
              </w:rPr>
              <w:t xml:space="preserve"> ustawy o obrocie z zagranicą</w:t>
            </w:r>
          </w:p>
        </w:tc>
        <w:tc>
          <w:tcPr>
            <w:tcW w:w="3793" w:type="dxa"/>
          </w:tcPr>
          <w:p w14:paraId="4695CC07" w14:textId="77777777" w:rsidR="00064D2A" w:rsidRPr="0008263A" w:rsidRDefault="00064D2A" w:rsidP="00064D2A">
            <w:pPr>
              <w:jc w:val="both"/>
              <w:rPr>
                <w:rFonts w:ascii="Arial" w:hAnsi="Arial" w:cs="Arial"/>
                <w:iCs/>
                <w:lang w:val="pl-PL"/>
              </w:rPr>
            </w:pPr>
            <w:r w:rsidRPr="0008263A">
              <w:rPr>
                <w:rFonts w:ascii="Arial" w:hAnsi="Arial" w:cs="Arial"/>
                <w:iCs/>
                <w:lang w:val="pl-PL"/>
              </w:rPr>
              <w:t>Art. 27d ust. 1 ustawy przewiduje, że „Organ kontroli obrotu prowadzi w</w:t>
            </w:r>
          </w:p>
          <w:p w14:paraId="5C596C03" w14:textId="1C019BD0" w:rsidR="00064D2A" w:rsidRPr="0008263A" w:rsidRDefault="00064D2A" w:rsidP="00064D2A">
            <w:pPr>
              <w:jc w:val="both"/>
              <w:rPr>
                <w:rFonts w:ascii="Arial" w:hAnsi="Arial" w:cs="Arial"/>
                <w:iCs/>
                <w:lang w:val="pl-PL"/>
              </w:rPr>
            </w:pPr>
            <w:r w:rsidRPr="0008263A">
              <w:rPr>
                <w:rFonts w:ascii="Arial" w:hAnsi="Arial" w:cs="Arial"/>
                <w:iCs/>
                <w:lang w:val="pl-PL"/>
              </w:rPr>
              <w:t>systemie teleinformatycznym, o którym mowa w art. 3 pkt 3 ustawy z dnia 17 lutego</w:t>
            </w:r>
            <w:r w:rsidRPr="00ED6F22">
              <w:rPr>
                <w:rFonts w:ascii="Arial" w:hAnsi="Arial" w:cs="Arial"/>
                <w:iCs/>
                <w:lang w:val="pl-PL"/>
              </w:rPr>
              <w:t xml:space="preserve"> </w:t>
            </w:r>
            <w:r w:rsidRPr="0008263A">
              <w:rPr>
                <w:rFonts w:ascii="Arial" w:hAnsi="Arial" w:cs="Arial"/>
                <w:iCs/>
                <w:lang w:val="pl-PL"/>
              </w:rPr>
              <w:t>2005 r. o informatyzacji działalności podmiotów realizujących zadania publiczne, z</w:t>
            </w:r>
            <w:r w:rsidRPr="00ED6F22">
              <w:rPr>
                <w:rFonts w:ascii="Arial" w:hAnsi="Arial" w:cs="Arial"/>
                <w:iCs/>
                <w:lang w:val="pl-PL"/>
              </w:rPr>
              <w:t xml:space="preserve"> </w:t>
            </w:r>
            <w:r w:rsidRPr="0008263A">
              <w:rPr>
                <w:rFonts w:ascii="Arial" w:hAnsi="Arial" w:cs="Arial"/>
                <w:iCs/>
                <w:lang w:val="pl-PL"/>
              </w:rPr>
              <w:t>wykorzystaniem usługi online udostępnionej w systemie PIP rejestr: 1) udzielonych</w:t>
            </w:r>
            <w:r w:rsidRPr="00ED6F22">
              <w:rPr>
                <w:rFonts w:ascii="Arial" w:hAnsi="Arial" w:cs="Arial"/>
                <w:iCs/>
                <w:lang w:val="pl-PL"/>
              </w:rPr>
              <w:t xml:space="preserve"> </w:t>
            </w:r>
            <w:r w:rsidRPr="0008263A">
              <w:rPr>
                <w:rFonts w:ascii="Arial" w:hAnsi="Arial" w:cs="Arial"/>
                <w:iCs/>
                <w:lang w:val="pl-PL"/>
              </w:rPr>
              <w:t>zezwoleń indywidualnych, 2) udzielonych zezwoleń globalnych, 3) podmiotów</w:t>
            </w:r>
          </w:p>
          <w:p w14:paraId="07356656" w14:textId="39D0702D" w:rsidR="00064D2A" w:rsidRPr="0008263A" w:rsidRDefault="00064D2A" w:rsidP="00064D2A">
            <w:pPr>
              <w:jc w:val="both"/>
              <w:rPr>
                <w:rFonts w:ascii="Arial" w:hAnsi="Arial" w:cs="Arial"/>
                <w:iCs/>
                <w:lang w:val="pl-PL"/>
              </w:rPr>
            </w:pPr>
            <w:r w:rsidRPr="0008263A">
              <w:rPr>
                <w:rFonts w:ascii="Arial" w:hAnsi="Arial" w:cs="Arial"/>
                <w:iCs/>
                <w:lang w:val="pl-PL"/>
              </w:rPr>
              <w:t>korzystających z krajowych zezwoleń generalnych udzielonych na podstawie przepisów</w:t>
            </w:r>
            <w:r w:rsidRPr="00ED6F22">
              <w:rPr>
                <w:rFonts w:ascii="Arial" w:hAnsi="Arial" w:cs="Arial"/>
                <w:iCs/>
                <w:lang w:val="pl-PL"/>
              </w:rPr>
              <w:t xml:space="preserve"> </w:t>
            </w:r>
            <w:r w:rsidRPr="0008263A">
              <w:rPr>
                <w:rFonts w:ascii="Arial" w:hAnsi="Arial" w:cs="Arial"/>
                <w:iCs/>
                <w:lang w:val="pl-PL"/>
              </w:rPr>
              <w:t>wykonawczych wydanych na podstawie art. 8 ust. 2 oraz podmiotów korzystających z</w:t>
            </w:r>
            <w:r w:rsidRPr="00ED6F22">
              <w:rPr>
                <w:rFonts w:ascii="Arial" w:hAnsi="Arial" w:cs="Arial"/>
                <w:iCs/>
                <w:lang w:val="pl-PL"/>
              </w:rPr>
              <w:t xml:space="preserve"> </w:t>
            </w:r>
            <w:r w:rsidRPr="0008263A">
              <w:rPr>
                <w:rFonts w:ascii="Arial" w:hAnsi="Arial" w:cs="Arial"/>
                <w:iCs/>
                <w:lang w:val="pl-PL"/>
              </w:rPr>
              <w:t>generalnych unijnych zezwoleń na wywóz - zwany dalej „rejestrem”.</w:t>
            </w:r>
          </w:p>
          <w:p w14:paraId="36745D8E" w14:textId="192DC261" w:rsidR="00064D2A" w:rsidRPr="0008263A" w:rsidRDefault="00064D2A" w:rsidP="00064D2A">
            <w:pPr>
              <w:jc w:val="both"/>
              <w:rPr>
                <w:rFonts w:ascii="Arial" w:hAnsi="Arial" w:cs="Arial"/>
                <w:iCs/>
                <w:lang w:val="pl-PL"/>
              </w:rPr>
            </w:pPr>
            <w:r w:rsidRPr="0008263A">
              <w:rPr>
                <w:rFonts w:ascii="Arial" w:hAnsi="Arial" w:cs="Arial"/>
                <w:iCs/>
                <w:lang w:val="pl-PL"/>
              </w:rPr>
              <w:t xml:space="preserve">Jak wyżej wskazano, odwołanie się do definicji systemu teleinformatycznego </w:t>
            </w:r>
            <w:r w:rsidRPr="0008263A">
              <w:rPr>
                <w:rFonts w:ascii="Arial" w:hAnsi="Arial" w:cs="Arial"/>
                <w:iCs/>
                <w:lang w:val="pl-PL"/>
              </w:rPr>
              <w:lastRenderedPageBreak/>
              <w:t>nie</w:t>
            </w:r>
            <w:r w:rsidRPr="00ED6F22">
              <w:rPr>
                <w:rFonts w:ascii="Arial" w:hAnsi="Arial" w:cs="Arial"/>
                <w:iCs/>
                <w:lang w:val="pl-PL"/>
              </w:rPr>
              <w:t xml:space="preserve"> </w:t>
            </w:r>
            <w:r w:rsidRPr="0008263A">
              <w:rPr>
                <w:rFonts w:ascii="Arial" w:hAnsi="Arial" w:cs="Arial"/>
                <w:iCs/>
                <w:lang w:val="pl-PL"/>
              </w:rPr>
              <w:t>jest wystarczające z punktu widzenia realizacji przepisów dotyczących przetwarzania</w:t>
            </w:r>
            <w:r w:rsidRPr="00ED6F22">
              <w:rPr>
                <w:rFonts w:ascii="Arial" w:hAnsi="Arial" w:cs="Arial"/>
                <w:iCs/>
                <w:lang w:val="pl-PL"/>
              </w:rPr>
              <w:t xml:space="preserve"> </w:t>
            </w:r>
            <w:r w:rsidRPr="0008263A">
              <w:rPr>
                <w:rFonts w:ascii="Arial" w:hAnsi="Arial" w:cs="Arial"/>
                <w:iCs/>
                <w:lang w:val="pl-PL"/>
              </w:rPr>
              <w:t>danych osobowych. Wykonywanie działań związanych z prowadzeniem rejestru będzie</w:t>
            </w:r>
            <w:r w:rsidRPr="00ED6F22">
              <w:rPr>
                <w:rFonts w:ascii="Arial" w:hAnsi="Arial" w:cs="Arial"/>
                <w:iCs/>
                <w:lang w:val="pl-PL"/>
              </w:rPr>
              <w:t xml:space="preserve"> </w:t>
            </w:r>
            <w:r w:rsidRPr="0008263A">
              <w:rPr>
                <w:rFonts w:ascii="Arial" w:hAnsi="Arial" w:cs="Arial"/>
                <w:iCs/>
                <w:lang w:val="pl-PL"/>
              </w:rPr>
              <w:t xml:space="preserve">wiązało się bowiem z przetwarzaniem danych osobowych, pozyskiwanych </w:t>
            </w:r>
            <w:r w:rsidRPr="00ED6F22">
              <w:rPr>
                <w:rFonts w:ascii="Arial" w:hAnsi="Arial" w:cs="Arial"/>
                <w:iCs/>
                <w:lang w:val="pl-PL"/>
              </w:rPr>
              <w:t xml:space="preserve">I </w:t>
            </w:r>
            <w:r w:rsidRPr="0008263A">
              <w:rPr>
                <w:rFonts w:ascii="Arial" w:hAnsi="Arial" w:cs="Arial"/>
                <w:iCs/>
                <w:lang w:val="pl-PL"/>
              </w:rPr>
              <w:t>udostępnianych z wykorzystaniem usługi online w systemie PIP. Istotne jest zatem</w:t>
            </w:r>
          </w:p>
          <w:p w14:paraId="5540B3AC" w14:textId="1D471FA3" w:rsidR="00064D2A" w:rsidRPr="0008263A" w:rsidRDefault="00064D2A" w:rsidP="00064D2A">
            <w:pPr>
              <w:jc w:val="both"/>
              <w:rPr>
                <w:rFonts w:ascii="Arial" w:hAnsi="Arial" w:cs="Arial"/>
                <w:iCs/>
                <w:lang w:val="pl-PL"/>
              </w:rPr>
            </w:pPr>
            <w:r w:rsidRPr="0008263A">
              <w:rPr>
                <w:rFonts w:ascii="Arial" w:hAnsi="Arial" w:cs="Arial"/>
                <w:iCs/>
                <w:lang w:val="pl-PL"/>
              </w:rPr>
              <w:t>dookreślenie, czy prowadzony przez organ kontroli (ministra właściwego w sprawie</w:t>
            </w:r>
            <w:r w:rsidRPr="00ED6F22">
              <w:rPr>
                <w:rFonts w:ascii="Arial" w:hAnsi="Arial" w:cs="Arial"/>
                <w:iCs/>
                <w:lang w:val="pl-PL"/>
              </w:rPr>
              <w:t xml:space="preserve"> </w:t>
            </w:r>
            <w:r w:rsidRPr="0008263A">
              <w:rPr>
                <w:rFonts w:ascii="Arial" w:hAnsi="Arial" w:cs="Arial"/>
                <w:iCs/>
                <w:lang w:val="pl-PL"/>
              </w:rPr>
              <w:t>gospodarki) rejestr prowadzony jest w odrębnym systemie teleinformatycznym, czy jest</w:t>
            </w:r>
            <w:r w:rsidRPr="00ED6F22">
              <w:rPr>
                <w:rFonts w:ascii="Arial" w:hAnsi="Arial" w:cs="Arial"/>
                <w:iCs/>
                <w:lang w:val="pl-PL"/>
              </w:rPr>
              <w:t xml:space="preserve"> </w:t>
            </w:r>
            <w:r w:rsidRPr="0008263A">
              <w:rPr>
                <w:rFonts w:ascii="Arial" w:hAnsi="Arial" w:cs="Arial"/>
                <w:iCs/>
                <w:lang w:val="pl-PL"/>
              </w:rPr>
              <w:t>on powiązany z innym już istniejącym w porządku prawnym systemem prowadzonym</w:t>
            </w:r>
            <w:r w:rsidRPr="00ED6F22">
              <w:rPr>
                <w:rFonts w:ascii="Arial" w:hAnsi="Arial" w:cs="Arial"/>
                <w:iCs/>
                <w:lang w:val="pl-PL"/>
              </w:rPr>
              <w:t xml:space="preserve"> </w:t>
            </w:r>
            <w:r w:rsidRPr="0008263A">
              <w:rPr>
                <w:rFonts w:ascii="Arial" w:hAnsi="Arial" w:cs="Arial"/>
                <w:iCs/>
                <w:lang w:val="pl-PL"/>
              </w:rPr>
              <w:t>przez ten organ. Ustawodawca w motywie 31 rozporządzenia 2016/679 wymaga</w:t>
            </w:r>
          </w:p>
          <w:p w14:paraId="7786CDC8" w14:textId="077F6D3B" w:rsidR="00064D2A" w:rsidRPr="0008263A" w:rsidRDefault="00064D2A" w:rsidP="00064D2A">
            <w:pPr>
              <w:jc w:val="both"/>
              <w:rPr>
                <w:rFonts w:ascii="Arial" w:hAnsi="Arial" w:cs="Arial"/>
                <w:iCs/>
                <w:lang w:val="pl-PL"/>
              </w:rPr>
            </w:pPr>
            <w:r w:rsidRPr="00ED6F22">
              <w:rPr>
                <w:rFonts w:ascii="Arial" w:hAnsi="Arial" w:cs="Arial"/>
                <w:iCs/>
                <w:lang w:val="pl-PL"/>
              </w:rPr>
              <w:t>zachowania daleko idącej ostrożności w kwestii łączenia zbiorów danych. Wyjaśnienie tej</w:t>
            </w:r>
            <w:r w:rsidRPr="00ED6F22">
              <w:rPr>
                <w:rFonts w:ascii="ArialMT" w:hAnsi="ArialMT" w:cs="ArialMT"/>
                <w:sz w:val="24"/>
                <w:szCs w:val="24"/>
                <w:lang w:val="pl-PL"/>
              </w:rPr>
              <w:t xml:space="preserve"> </w:t>
            </w:r>
            <w:r w:rsidRPr="00ED6F22">
              <w:rPr>
                <w:rFonts w:ascii="Arial" w:hAnsi="Arial" w:cs="Arial"/>
                <w:iCs/>
                <w:lang w:val="pl-PL"/>
              </w:rPr>
              <w:t xml:space="preserve">kwestii niezbędne jest z punktu widzenia zasady zgodności z prawem, rzetelności I </w:t>
            </w:r>
            <w:r w:rsidRPr="0008263A">
              <w:rPr>
                <w:rFonts w:ascii="Arial" w:hAnsi="Arial" w:cs="Arial"/>
                <w:iCs/>
                <w:lang w:val="pl-PL"/>
              </w:rPr>
              <w:t>przejrzystości z art. 5 ust. 1 lit. a rozporządzenia 2026/679.</w:t>
            </w:r>
          </w:p>
          <w:p w14:paraId="2379666B" w14:textId="355E6A93" w:rsidR="00CD1E2E" w:rsidRPr="00ED6F22" w:rsidRDefault="00064D2A" w:rsidP="00064D2A">
            <w:pPr>
              <w:jc w:val="both"/>
              <w:rPr>
                <w:rFonts w:ascii="Arial" w:hAnsi="Arial" w:cs="Arial"/>
                <w:lang w:val="pl-PL"/>
              </w:rPr>
            </w:pPr>
            <w:r w:rsidRPr="0008263A">
              <w:rPr>
                <w:rFonts w:ascii="Arial" w:hAnsi="Arial" w:cs="Arial"/>
                <w:iCs/>
                <w:lang w:val="pl-PL"/>
              </w:rPr>
              <w:t>Ponadto, zważywszy, że w rejestrze gromadzone są wnioski, zezwolenia, w tym</w:t>
            </w:r>
            <w:r w:rsidRPr="00ED6F22">
              <w:rPr>
                <w:rFonts w:ascii="Arial" w:hAnsi="Arial" w:cs="Arial"/>
                <w:iCs/>
                <w:lang w:val="pl-PL"/>
              </w:rPr>
              <w:t xml:space="preserve"> </w:t>
            </w:r>
            <w:r w:rsidRPr="0008263A">
              <w:rPr>
                <w:rFonts w:ascii="Arial" w:hAnsi="Arial" w:cs="Arial"/>
                <w:iCs/>
                <w:lang w:val="pl-PL"/>
              </w:rPr>
              <w:t>dane osobowe, istotne jest zatem, czy przewiduje się dostęp do ww. dokumentacji dla</w:t>
            </w:r>
            <w:r w:rsidRPr="00ED6F22">
              <w:rPr>
                <w:rFonts w:ascii="Arial" w:hAnsi="Arial" w:cs="Arial"/>
                <w:iCs/>
                <w:lang w:val="pl-PL"/>
              </w:rPr>
              <w:t xml:space="preserve"> </w:t>
            </w:r>
            <w:r w:rsidRPr="0008263A">
              <w:rPr>
                <w:rFonts w:ascii="Arial" w:hAnsi="Arial" w:cs="Arial"/>
                <w:iCs/>
                <w:lang w:val="pl-PL"/>
              </w:rPr>
              <w:t>podmiotów (organów), które realizują ustawowe zadania w zakresie kontroli wywozu,</w:t>
            </w:r>
            <w:r w:rsidRPr="00ED6F22">
              <w:rPr>
                <w:rFonts w:ascii="Arial" w:hAnsi="Arial" w:cs="Arial"/>
                <w:iCs/>
                <w:lang w:val="pl-PL"/>
              </w:rPr>
              <w:t xml:space="preserve"> </w:t>
            </w:r>
            <w:r w:rsidRPr="0008263A">
              <w:rPr>
                <w:rFonts w:ascii="Arial" w:hAnsi="Arial" w:cs="Arial"/>
                <w:iCs/>
                <w:lang w:val="pl-PL"/>
              </w:rPr>
              <w:t>pośrednictwa, tranzytu i transferu produktów podwójnego zastosowania. Wyjaśnienie tej</w:t>
            </w:r>
            <w:r w:rsidRPr="00ED6F22">
              <w:rPr>
                <w:rFonts w:ascii="Arial" w:hAnsi="Arial" w:cs="Arial"/>
                <w:iCs/>
                <w:lang w:val="pl-PL"/>
              </w:rPr>
              <w:t xml:space="preserve"> </w:t>
            </w:r>
            <w:r w:rsidRPr="0008263A">
              <w:rPr>
                <w:rFonts w:ascii="Arial" w:hAnsi="Arial" w:cs="Arial"/>
                <w:iCs/>
                <w:lang w:val="pl-PL"/>
              </w:rPr>
              <w:t xml:space="preserve">kwestii ma znaczenie dla realizacji zasady zgodności z prawem, rzetelności </w:t>
            </w:r>
            <w:r w:rsidRPr="00ED6F22">
              <w:rPr>
                <w:rFonts w:ascii="Arial" w:hAnsi="Arial" w:cs="Arial"/>
                <w:iCs/>
                <w:lang w:val="pl-PL"/>
              </w:rPr>
              <w:t xml:space="preserve">I </w:t>
            </w:r>
            <w:r w:rsidRPr="0008263A">
              <w:rPr>
                <w:rFonts w:ascii="Arial" w:hAnsi="Arial" w:cs="Arial"/>
                <w:iCs/>
                <w:lang w:val="pl-PL"/>
              </w:rPr>
              <w:t>przejrzystości, integralności i poufności z art. 5 ust. 1 lit. f 10 oraz rozliczalności z art. 5</w:t>
            </w:r>
            <w:r w:rsidRPr="00ED6F22">
              <w:rPr>
                <w:rFonts w:ascii="Arial" w:hAnsi="Arial" w:cs="Arial"/>
                <w:iCs/>
                <w:lang w:val="pl-PL"/>
              </w:rPr>
              <w:t xml:space="preserve"> ust. 2 rozporządzenia 2016/679.</w:t>
            </w:r>
          </w:p>
        </w:tc>
        <w:tc>
          <w:tcPr>
            <w:tcW w:w="2693" w:type="dxa"/>
          </w:tcPr>
          <w:p w14:paraId="035ACACD" w14:textId="77777777" w:rsidR="00CD1E2E" w:rsidRPr="00064D2A" w:rsidRDefault="00CD1E2E" w:rsidP="00CD1E2E">
            <w:pPr>
              <w:autoSpaceDE w:val="0"/>
              <w:autoSpaceDN w:val="0"/>
              <w:adjustRightInd w:val="0"/>
              <w:spacing w:line="300" w:lineRule="auto"/>
              <w:jc w:val="both"/>
              <w:rPr>
                <w:rFonts w:ascii="Arial" w:hAnsi="Arial" w:cs="Arial"/>
                <w:b/>
                <w:bCs/>
                <w:lang w:val="pl-PL"/>
              </w:rPr>
            </w:pPr>
          </w:p>
        </w:tc>
        <w:tc>
          <w:tcPr>
            <w:tcW w:w="4111" w:type="dxa"/>
          </w:tcPr>
          <w:p w14:paraId="439708CE" w14:textId="3C39F912" w:rsidR="00CD1E2E" w:rsidRDefault="004E1924" w:rsidP="00CD1E2E">
            <w:pPr>
              <w:autoSpaceDE w:val="0"/>
              <w:autoSpaceDN w:val="0"/>
              <w:adjustRightInd w:val="0"/>
              <w:jc w:val="both"/>
              <w:rPr>
                <w:rFonts w:ascii="Arial" w:hAnsi="Arial" w:cs="Arial"/>
                <w:b/>
                <w:bCs/>
                <w:lang w:val="pl-PL"/>
              </w:rPr>
            </w:pPr>
            <w:r>
              <w:rPr>
                <w:rFonts w:ascii="Arial" w:hAnsi="Arial" w:cs="Arial"/>
                <w:b/>
                <w:bCs/>
                <w:lang w:val="pl-PL"/>
              </w:rPr>
              <w:t>Wyjaśnienie do o</w:t>
            </w:r>
            <w:r w:rsidR="00165277">
              <w:rPr>
                <w:rFonts w:ascii="Arial" w:hAnsi="Arial" w:cs="Arial"/>
                <w:b/>
                <w:bCs/>
                <w:lang w:val="pl-PL"/>
              </w:rPr>
              <w:t>pinia-</w:t>
            </w:r>
          </w:p>
          <w:p w14:paraId="7F073ED9" w14:textId="77777777" w:rsidR="00165277" w:rsidRDefault="00165277" w:rsidP="00CD1E2E">
            <w:pPr>
              <w:autoSpaceDE w:val="0"/>
              <w:autoSpaceDN w:val="0"/>
              <w:adjustRightInd w:val="0"/>
              <w:jc w:val="both"/>
              <w:rPr>
                <w:rFonts w:ascii="Arial" w:hAnsi="Arial" w:cs="Arial"/>
                <w:b/>
                <w:bCs/>
                <w:lang w:val="pl-PL"/>
              </w:rPr>
            </w:pPr>
          </w:p>
          <w:p w14:paraId="4A8E9D19" w14:textId="1662F13C" w:rsidR="00165277" w:rsidRPr="00165277" w:rsidRDefault="00165277" w:rsidP="00CD1E2E">
            <w:pPr>
              <w:autoSpaceDE w:val="0"/>
              <w:autoSpaceDN w:val="0"/>
              <w:adjustRightInd w:val="0"/>
              <w:jc w:val="both"/>
              <w:rPr>
                <w:rFonts w:ascii="Arial" w:hAnsi="Arial" w:cs="Arial"/>
                <w:lang w:val="pl-PL"/>
              </w:rPr>
            </w:pPr>
            <w:r>
              <w:rPr>
                <w:rFonts w:ascii="Arial" w:hAnsi="Arial" w:cs="Arial"/>
                <w:lang w:val="pl-PL"/>
              </w:rPr>
              <w:t>w</w:t>
            </w:r>
            <w:r w:rsidRPr="00165277">
              <w:rPr>
                <w:rFonts w:ascii="Arial" w:hAnsi="Arial" w:cs="Arial"/>
                <w:lang w:val="pl-PL"/>
              </w:rPr>
              <w:t xml:space="preserve"> ocenie</w:t>
            </w:r>
            <w:r>
              <w:rPr>
                <w:rFonts w:ascii="Arial" w:hAnsi="Arial" w:cs="Arial"/>
                <w:lang w:val="pl-PL"/>
              </w:rPr>
              <w:t xml:space="preserve"> MRiT (jak również odpowiedzialnego za cyfryzację państwa MC)</w:t>
            </w:r>
            <w:r w:rsidRPr="00165277">
              <w:rPr>
                <w:rFonts w:ascii="Arial" w:hAnsi="Arial" w:cs="Arial"/>
                <w:lang w:val="pl-PL"/>
              </w:rPr>
              <w:t xml:space="preserve"> przepis spełnia wymagania dla funkcjonowania takiego systemu</w:t>
            </w:r>
            <w:r>
              <w:rPr>
                <w:rFonts w:ascii="Arial" w:hAnsi="Arial" w:cs="Arial"/>
                <w:lang w:val="pl-PL"/>
              </w:rPr>
              <w:t>.</w:t>
            </w:r>
          </w:p>
        </w:tc>
      </w:tr>
      <w:tr w:rsidR="00165277" w:rsidRPr="00064D2A" w14:paraId="67AD5C7C" w14:textId="77777777" w:rsidTr="00064D2A">
        <w:tc>
          <w:tcPr>
            <w:tcW w:w="562" w:type="dxa"/>
          </w:tcPr>
          <w:p w14:paraId="5C425C92" w14:textId="423A32CA" w:rsidR="00165277" w:rsidRPr="00064D2A" w:rsidRDefault="00807E88" w:rsidP="00165277">
            <w:pPr>
              <w:autoSpaceDE w:val="0"/>
              <w:autoSpaceDN w:val="0"/>
              <w:adjustRightInd w:val="0"/>
              <w:spacing w:line="300" w:lineRule="auto"/>
              <w:jc w:val="both"/>
              <w:rPr>
                <w:rFonts w:ascii="Arial" w:hAnsi="Arial" w:cs="Arial"/>
                <w:b/>
                <w:bCs/>
                <w:lang w:val="pl-PL"/>
              </w:rPr>
            </w:pPr>
            <w:r>
              <w:rPr>
                <w:rFonts w:ascii="Arial" w:hAnsi="Arial" w:cs="Arial"/>
                <w:b/>
                <w:bCs/>
                <w:lang w:val="pl-PL"/>
              </w:rPr>
              <w:lastRenderedPageBreak/>
              <w:t>29</w:t>
            </w:r>
            <w:r w:rsidR="00165277" w:rsidRPr="00064D2A">
              <w:rPr>
                <w:rFonts w:ascii="Arial" w:hAnsi="Arial" w:cs="Arial"/>
                <w:b/>
                <w:bCs/>
                <w:lang w:val="pl-PL"/>
              </w:rPr>
              <w:t>.</w:t>
            </w:r>
          </w:p>
        </w:tc>
        <w:tc>
          <w:tcPr>
            <w:tcW w:w="1333" w:type="dxa"/>
          </w:tcPr>
          <w:p w14:paraId="78E636D6" w14:textId="4CF10517" w:rsidR="00165277" w:rsidRPr="00064D2A" w:rsidRDefault="00165277" w:rsidP="00165277">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UODO</w:t>
            </w:r>
          </w:p>
        </w:tc>
        <w:tc>
          <w:tcPr>
            <w:tcW w:w="1395" w:type="dxa"/>
          </w:tcPr>
          <w:p w14:paraId="32D29BDD" w14:textId="16EE686B" w:rsidR="00165277" w:rsidRPr="00064D2A" w:rsidRDefault="00165277" w:rsidP="00165277">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 xml:space="preserve">Art. 1 pkt 16 (po zmianie pkt projektu będzie to pkt 18)  - w odniesieniu do art. 27d ust. </w:t>
            </w:r>
            <w:r>
              <w:rPr>
                <w:rFonts w:ascii="Arial" w:hAnsi="Arial" w:cs="Arial"/>
                <w:b/>
                <w:bCs/>
                <w:lang w:val="pl-PL"/>
              </w:rPr>
              <w:t>3</w:t>
            </w:r>
            <w:r w:rsidRPr="00064D2A">
              <w:rPr>
                <w:rFonts w:ascii="Arial" w:hAnsi="Arial" w:cs="Arial"/>
                <w:b/>
                <w:bCs/>
                <w:lang w:val="pl-PL"/>
              </w:rPr>
              <w:t xml:space="preserve"> ustawy o obrocie z zagranicą</w:t>
            </w:r>
          </w:p>
        </w:tc>
        <w:tc>
          <w:tcPr>
            <w:tcW w:w="3793" w:type="dxa"/>
          </w:tcPr>
          <w:p w14:paraId="6E7C9B47" w14:textId="6B486BF6" w:rsidR="00165277" w:rsidRPr="0008263A" w:rsidRDefault="00165277" w:rsidP="00165277">
            <w:pPr>
              <w:jc w:val="both"/>
              <w:rPr>
                <w:rFonts w:ascii="Arial" w:hAnsi="Arial" w:cs="Arial"/>
                <w:lang w:val="pl-PL"/>
              </w:rPr>
            </w:pPr>
            <w:r w:rsidRPr="0008263A">
              <w:rPr>
                <w:rFonts w:ascii="Arial" w:hAnsi="Arial" w:cs="Arial"/>
                <w:lang w:val="pl-PL"/>
              </w:rPr>
              <w:t>Art. 27d ust. 3 ustawy stanowi, że „Minister właściwy do spraw gospodarki jest</w:t>
            </w:r>
            <w:r w:rsidRPr="00ED6F22">
              <w:rPr>
                <w:rFonts w:ascii="Arial" w:hAnsi="Arial" w:cs="Arial"/>
                <w:lang w:val="pl-PL"/>
              </w:rPr>
              <w:t xml:space="preserve"> </w:t>
            </w:r>
            <w:r w:rsidRPr="0008263A">
              <w:rPr>
                <w:rFonts w:ascii="Arial" w:hAnsi="Arial" w:cs="Arial"/>
                <w:lang w:val="pl-PL"/>
              </w:rPr>
              <w:t>administratorem danych gromadzonych w rejestrze, w tym danych osobowych w</w:t>
            </w:r>
            <w:r w:rsidRPr="00ED6F22">
              <w:rPr>
                <w:rFonts w:ascii="Arial" w:hAnsi="Arial" w:cs="Arial"/>
                <w:lang w:val="pl-PL"/>
              </w:rPr>
              <w:t xml:space="preserve"> </w:t>
            </w:r>
            <w:r w:rsidRPr="0008263A">
              <w:rPr>
                <w:rFonts w:ascii="Arial" w:hAnsi="Arial" w:cs="Arial"/>
                <w:lang w:val="pl-PL"/>
              </w:rPr>
              <w:t>rozumieniu rozporządzenia Parlamentu Europejskiego i Rady (UE) 2016/679 z dnia 27</w:t>
            </w:r>
            <w:r w:rsidRPr="00ED6F22">
              <w:rPr>
                <w:rFonts w:ascii="Arial" w:hAnsi="Arial" w:cs="Arial"/>
                <w:lang w:val="pl-PL"/>
              </w:rPr>
              <w:t xml:space="preserve"> </w:t>
            </w:r>
            <w:r w:rsidRPr="0008263A">
              <w:rPr>
                <w:rFonts w:ascii="Arial" w:hAnsi="Arial" w:cs="Arial"/>
                <w:lang w:val="pl-PL"/>
              </w:rPr>
              <w:t>kwietnia 2016 r. w sprawie ochrony osób fizycznych w związku z przetwarzaniem danych</w:t>
            </w:r>
            <w:r w:rsidRPr="00ED6F22">
              <w:rPr>
                <w:rFonts w:ascii="Arial" w:hAnsi="Arial" w:cs="Arial"/>
                <w:lang w:val="pl-PL"/>
              </w:rPr>
              <w:t xml:space="preserve"> </w:t>
            </w:r>
            <w:r w:rsidRPr="0008263A">
              <w:rPr>
                <w:rFonts w:ascii="Arial" w:hAnsi="Arial" w:cs="Arial"/>
                <w:lang w:val="pl-PL"/>
              </w:rPr>
              <w:t>osobowych i w sprawie swobodnego przepływu takich danych oraz uchylenia dyrektywy</w:t>
            </w:r>
          </w:p>
          <w:p w14:paraId="3EA3791B" w14:textId="29BE8FE9" w:rsidR="00165277" w:rsidRPr="0008263A" w:rsidRDefault="00165277" w:rsidP="00165277">
            <w:pPr>
              <w:jc w:val="both"/>
              <w:rPr>
                <w:rFonts w:ascii="Arial" w:hAnsi="Arial" w:cs="Arial"/>
                <w:lang w:val="pl-PL"/>
              </w:rPr>
            </w:pPr>
            <w:r w:rsidRPr="0008263A">
              <w:rPr>
                <w:rFonts w:ascii="Arial" w:hAnsi="Arial" w:cs="Arial"/>
                <w:lang w:val="pl-PL"/>
              </w:rPr>
              <w:t>95/46/WE (ogólne rozporządzenie o ochronie danych) (Dz. Urz. UE L 119 z 04.05.2016,</w:t>
            </w:r>
            <w:r w:rsidRPr="00ED6F22">
              <w:rPr>
                <w:rFonts w:ascii="Arial" w:hAnsi="Arial" w:cs="Arial"/>
                <w:lang w:val="pl-PL"/>
              </w:rPr>
              <w:t xml:space="preserve"> </w:t>
            </w:r>
            <w:r w:rsidRPr="0008263A">
              <w:rPr>
                <w:rFonts w:ascii="Arial" w:hAnsi="Arial" w:cs="Arial"/>
                <w:lang w:val="pl-PL"/>
              </w:rPr>
              <w:t>str. 1, z późn. zm.)”. Rola administratora ma kluczowe znaczenie w stosowaniu</w:t>
            </w:r>
            <w:r w:rsidRPr="00ED6F22">
              <w:rPr>
                <w:rFonts w:ascii="Arial" w:hAnsi="Arial" w:cs="Arial"/>
                <w:lang w:val="pl-PL"/>
              </w:rPr>
              <w:t xml:space="preserve"> </w:t>
            </w:r>
            <w:r w:rsidRPr="0008263A">
              <w:rPr>
                <w:rFonts w:ascii="Arial" w:hAnsi="Arial" w:cs="Arial"/>
                <w:lang w:val="pl-PL"/>
              </w:rPr>
              <w:t>przepisów rozporządzenia 2016/679, ponieważ to administrator jest adresatem szeregu</w:t>
            </w:r>
            <w:r w:rsidRPr="00ED6F22">
              <w:rPr>
                <w:rFonts w:ascii="Arial" w:hAnsi="Arial" w:cs="Arial"/>
                <w:lang w:val="pl-PL"/>
              </w:rPr>
              <w:t xml:space="preserve"> </w:t>
            </w:r>
            <w:r w:rsidRPr="0008263A">
              <w:rPr>
                <w:rFonts w:ascii="Arial" w:hAnsi="Arial" w:cs="Arial"/>
                <w:lang w:val="pl-PL"/>
              </w:rPr>
              <w:t>obowiązków i praw wynikających z tego aktu prawnego. Odpowiada on m.in. za</w:t>
            </w:r>
            <w:r w:rsidRPr="00ED6F22">
              <w:rPr>
                <w:rFonts w:ascii="Arial" w:hAnsi="Arial" w:cs="Arial"/>
                <w:lang w:val="pl-PL"/>
              </w:rPr>
              <w:t xml:space="preserve"> </w:t>
            </w:r>
            <w:r w:rsidRPr="0008263A">
              <w:rPr>
                <w:rFonts w:ascii="Arial" w:hAnsi="Arial" w:cs="Arial"/>
                <w:lang w:val="pl-PL"/>
              </w:rPr>
              <w:t>zgodność przetwarzania z zasadami określonymi tymi przepisami, w tym art. 5</w:t>
            </w:r>
            <w:r w:rsidRPr="00ED6F22">
              <w:rPr>
                <w:rFonts w:ascii="Arial" w:hAnsi="Arial" w:cs="Arial"/>
                <w:lang w:val="pl-PL"/>
              </w:rPr>
              <w:t xml:space="preserve"> </w:t>
            </w:r>
            <w:r w:rsidRPr="0008263A">
              <w:rPr>
                <w:rFonts w:ascii="Arial" w:hAnsi="Arial" w:cs="Arial"/>
                <w:lang w:val="pl-PL"/>
              </w:rPr>
              <w:t>rozporządzenia 2016/679, za realizację praw osób, których dane dotyczą, wynikających z</w:t>
            </w:r>
            <w:r w:rsidRPr="00ED6F22">
              <w:rPr>
                <w:rFonts w:ascii="Arial" w:hAnsi="Arial" w:cs="Arial"/>
                <w:lang w:val="pl-PL"/>
              </w:rPr>
              <w:t xml:space="preserve"> </w:t>
            </w:r>
            <w:r w:rsidRPr="0008263A">
              <w:rPr>
                <w:rFonts w:ascii="Arial" w:hAnsi="Arial" w:cs="Arial"/>
                <w:lang w:val="pl-PL"/>
              </w:rPr>
              <w:t>przepisów art. 13 i 14, 15–22 rozporządzenia 2016/679, a także jest obciążony pełną</w:t>
            </w:r>
            <w:r w:rsidRPr="00ED6F22">
              <w:rPr>
                <w:rFonts w:ascii="Arial" w:hAnsi="Arial" w:cs="Arial"/>
                <w:lang w:val="pl-PL"/>
              </w:rPr>
              <w:t xml:space="preserve"> </w:t>
            </w:r>
            <w:r w:rsidRPr="0008263A">
              <w:rPr>
                <w:rFonts w:ascii="Arial" w:hAnsi="Arial" w:cs="Arial"/>
                <w:lang w:val="pl-PL"/>
              </w:rPr>
              <w:t>odpowiedzialnością za zgodne z prawem przetwarzanie danych, które prowadzi</w:t>
            </w:r>
            <w:r w:rsidRPr="00ED6F22">
              <w:rPr>
                <w:rFonts w:ascii="Arial" w:hAnsi="Arial" w:cs="Arial"/>
                <w:lang w:val="pl-PL"/>
              </w:rPr>
              <w:t xml:space="preserve"> </w:t>
            </w:r>
            <w:r w:rsidRPr="0008263A">
              <w:rPr>
                <w:rFonts w:ascii="Arial" w:hAnsi="Arial" w:cs="Arial"/>
                <w:lang w:val="pl-PL"/>
              </w:rPr>
              <w:t>samodzielnie lub które prowadzone jest w jego imieniu. Przepisy prawa nie muszą</w:t>
            </w:r>
            <w:r w:rsidRPr="00ED6F22">
              <w:rPr>
                <w:rFonts w:ascii="Arial" w:hAnsi="Arial" w:cs="Arial"/>
                <w:lang w:val="pl-PL"/>
              </w:rPr>
              <w:t xml:space="preserve"> </w:t>
            </w:r>
            <w:r w:rsidRPr="0008263A">
              <w:rPr>
                <w:rFonts w:ascii="Arial" w:hAnsi="Arial" w:cs="Arial"/>
                <w:lang w:val="pl-PL"/>
              </w:rPr>
              <w:t>wprost wskazywać kto jest administratorem danych. Rola administratora powinna</w:t>
            </w:r>
          </w:p>
          <w:p w14:paraId="6E5DCBA6" w14:textId="300BFF0B" w:rsidR="00165277" w:rsidRPr="0008263A" w:rsidRDefault="00165277" w:rsidP="00165277">
            <w:pPr>
              <w:jc w:val="both"/>
              <w:rPr>
                <w:rFonts w:ascii="Arial" w:hAnsi="Arial" w:cs="Arial"/>
                <w:lang w:val="pl-PL"/>
              </w:rPr>
            </w:pPr>
            <w:r w:rsidRPr="0008263A">
              <w:rPr>
                <w:rFonts w:ascii="Arial" w:hAnsi="Arial" w:cs="Arial"/>
                <w:lang w:val="pl-PL"/>
              </w:rPr>
              <w:t>wynikać z charakteru kompetencji lub też zakresu zadań publicznych, jakie przepisy te</w:t>
            </w:r>
            <w:r w:rsidRPr="00ED6F22">
              <w:rPr>
                <w:rFonts w:ascii="Arial" w:hAnsi="Arial" w:cs="Arial"/>
                <w:lang w:val="pl-PL"/>
              </w:rPr>
              <w:t xml:space="preserve"> </w:t>
            </w:r>
            <w:r w:rsidRPr="0008263A">
              <w:rPr>
                <w:rFonts w:ascii="Arial" w:hAnsi="Arial" w:cs="Arial"/>
                <w:lang w:val="pl-PL"/>
              </w:rPr>
              <w:t>mu przypisują. Najistotniejsze jest określenie wszystkich celów i sposobów przetwarzania</w:t>
            </w:r>
            <w:r w:rsidRPr="00ED6F22">
              <w:rPr>
                <w:rFonts w:ascii="Arial" w:hAnsi="Arial" w:cs="Arial"/>
                <w:lang w:val="pl-PL"/>
              </w:rPr>
              <w:t xml:space="preserve"> </w:t>
            </w:r>
            <w:r w:rsidRPr="0008263A">
              <w:rPr>
                <w:rFonts w:ascii="Arial" w:hAnsi="Arial" w:cs="Arial"/>
                <w:lang w:val="pl-PL"/>
              </w:rPr>
              <w:t xml:space="preserve">i podmiotu, który o nich decyduje – tj. spełnienie warunków </w:t>
            </w:r>
            <w:r w:rsidRPr="0008263A">
              <w:rPr>
                <w:rFonts w:ascii="Arial" w:hAnsi="Arial" w:cs="Arial"/>
                <w:lang w:val="pl-PL"/>
              </w:rPr>
              <w:lastRenderedPageBreak/>
              <w:t>określonych w art. 6 ust. 3</w:t>
            </w:r>
            <w:r w:rsidRPr="00ED6F22">
              <w:rPr>
                <w:rFonts w:ascii="Arial" w:hAnsi="Arial" w:cs="Arial"/>
                <w:lang w:val="pl-PL"/>
              </w:rPr>
              <w:t xml:space="preserve"> </w:t>
            </w:r>
            <w:r w:rsidRPr="0008263A">
              <w:rPr>
                <w:rFonts w:ascii="Arial" w:hAnsi="Arial" w:cs="Arial"/>
                <w:lang w:val="pl-PL"/>
              </w:rPr>
              <w:t>rozporządzenia 2016/679. W tym aspekcie warto sięgnąć po wyrok z 11 stycznia 2024 r.</w:t>
            </w:r>
            <w:r w:rsidRPr="00ED6F22">
              <w:rPr>
                <w:rFonts w:ascii="Arial" w:hAnsi="Arial" w:cs="Arial"/>
                <w:lang w:val="pl-PL"/>
              </w:rPr>
              <w:t xml:space="preserve"> </w:t>
            </w:r>
            <w:r w:rsidRPr="0008263A">
              <w:rPr>
                <w:rFonts w:ascii="Arial" w:hAnsi="Arial" w:cs="Arial"/>
                <w:lang w:val="pl-PL"/>
              </w:rPr>
              <w:t xml:space="preserve">C-231/22 </w:t>
            </w:r>
            <w:r w:rsidRPr="0008263A">
              <w:rPr>
                <w:rFonts w:ascii="Arial" w:hAnsi="Arial" w:cs="Arial"/>
                <w:i/>
                <w:iCs/>
                <w:lang w:val="pl-PL"/>
              </w:rPr>
              <w:t>Etat belge</w:t>
            </w:r>
            <w:r w:rsidRPr="0008263A">
              <w:rPr>
                <w:rFonts w:ascii="Arial" w:hAnsi="Arial" w:cs="Arial"/>
                <w:lang w:val="pl-PL"/>
              </w:rPr>
              <w:t>, w którym Trybunał Sprawiedliwości Unii Europejskiej stwierdził , że</w:t>
            </w:r>
            <w:r w:rsidRPr="00ED6F22">
              <w:rPr>
                <w:rFonts w:ascii="Arial" w:hAnsi="Arial" w:cs="Arial"/>
                <w:lang w:val="pl-PL"/>
              </w:rPr>
              <w:t xml:space="preserve"> </w:t>
            </w:r>
            <w:r w:rsidRPr="0008263A">
              <w:rPr>
                <w:rFonts w:ascii="Arial" w:hAnsi="Arial" w:cs="Arial"/>
                <w:lang w:val="pl-PL"/>
              </w:rPr>
              <w:t>„biorąc pod uwagę brzmienie art. 4 pkt 7 RODO, interpretowanego w świetle tego celu,</w:t>
            </w:r>
          </w:p>
          <w:p w14:paraId="2475EDF4" w14:textId="14E3DDD1" w:rsidR="00165277" w:rsidRPr="00ED6F22" w:rsidRDefault="00165277" w:rsidP="00165277">
            <w:pPr>
              <w:jc w:val="both"/>
              <w:rPr>
                <w:rFonts w:ascii="Arial" w:hAnsi="Arial" w:cs="Arial"/>
                <w:lang w:val="pl-PL"/>
              </w:rPr>
            </w:pPr>
            <w:r w:rsidRPr="0008263A">
              <w:rPr>
                <w:rFonts w:ascii="Arial" w:hAnsi="Arial" w:cs="Arial"/>
                <w:lang w:val="pl-PL"/>
              </w:rPr>
              <w:t>okazuje się, że aby ustalić, czy daną osobę lub podmiot należy uznać za „administratora”</w:t>
            </w:r>
            <w:r w:rsidRPr="00ED6F22">
              <w:rPr>
                <w:rFonts w:ascii="Arial" w:hAnsi="Arial" w:cs="Arial"/>
                <w:lang w:val="pl-PL"/>
              </w:rPr>
              <w:t xml:space="preserve"> </w:t>
            </w:r>
            <w:r w:rsidRPr="0008263A">
              <w:rPr>
                <w:rFonts w:ascii="Arial" w:hAnsi="Arial" w:cs="Arial"/>
                <w:lang w:val="pl-PL"/>
              </w:rPr>
              <w:t>w rozumieniu tego przepisu, należy zbadać, czy ta osoba lub ten podmiot samodzielnie</w:t>
            </w:r>
            <w:r w:rsidRPr="00ED6F22">
              <w:rPr>
                <w:rFonts w:ascii="Arial" w:hAnsi="Arial" w:cs="Arial"/>
                <w:lang w:val="pl-PL"/>
              </w:rPr>
              <w:t xml:space="preserve"> </w:t>
            </w:r>
            <w:r w:rsidRPr="0008263A">
              <w:rPr>
                <w:rFonts w:ascii="Arial" w:hAnsi="Arial" w:cs="Arial"/>
                <w:lang w:val="pl-PL"/>
              </w:rPr>
              <w:t>lub wspólnie z innymi ustalają cele i sposoby przetwarzania, czy też są one określone w</w:t>
            </w:r>
            <w:r w:rsidRPr="00ED6F22">
              <w:rPr>
                <w:rFonts w:ascii="Arial" w:hAnsi="Arial" w:cs="Arial"/>
                <w:lang w:val="pl-PL"/>
              </w:rPr>
              <w:t xml:space="preserve"> </w:t>
            </w:r>
            <w:r w:rsidRPr="0008263A">
              <w:rPr>
                <w:rFonts w:ascii="Arial" w:hAnsi="Arial" w:cs="Arial"/>
                <w:lang w:val="pl-PL"/>
              </w:rPr>
              <w:t>prawie krajowym. Zagadnienie to jest szerzej omówione w przyjętych przez Europejską</w:t>
            </w:r>
            <w:r w:rsidRPr="00ED6F22">
              <w:rPr>
                <w:rFonts w:ascii="Arial" w:hAnsi="Arial" w:cs="Arial"/>
                <w:lang w:val="pl-PL"/>
              </w:rPr>
              <w:t xml:space="preserve"> </w:t>
            </w:r>
            <w:r w:rsidRPr="0008263A">
              <w:rPr>
                <w:rFonts w:ascii="Arial" w:hAnsi="Arial" w:cs="Arial"/>
                <w:lang w:val="pl-PL"/>
              </w:rPr>
              <w:t>Radę Ochrony Danych w dniu 7 lipca 2021 r. Wytycznych 7/2020 w sprawie pojęć</w:t>
            </w:r>
            <w:r w:rsidRPr="00ED6F22">
              <w:rPr>
                <w:rFonts w:ascii="Arial" w:hAnsi="Arial" w:cs="Arial"/>
                <w:lang w:val="pl-PL"/>
              </w:rPr>
              <w:t xml:space="preserve"> </w:t>
            </w:r>
            <w:r w:rsidRPr="0008263A">
              <w:rPr>
                <w:rFonts w:ascii="Arial" w:hAnsi="Arial" w:cs="Arial"/>
                <w:lang w:val="pl-PL"/>
              </w:rPr>
              <w:t>administratora i podmiotu przetwarzającego na gruncie RODO12. A zatem z przepisów</w:t>
            </w:r>
            <w:r w:rsidRPr="00ED6F22">
              <w:rPr>
                <w:rFonts w:ascii="Arial" w:hAnsi="Arial" w:cs="Arial"/>
                <w:lang w:val="pl-PL"/>
              </w:rPr>
              <w:t xml:space="preserve"> ustawy powinny wynikać wszystkie cele realizowane przez ministra właściwego do spraw gospodarki w związku z przetwarzaniem danych osobowych w rejestrze, w tym zasady aktualizacji, usuwania, zmieniania i retencji danych.</w:t>
            </w:r>
          </w:p>
          <w:p w14:paraId="54B24B52" w14:textId="77777777" w:rsidR="00165277" w:rsidRPr="00ED6F22" w:rsidRDefault="00165277" w:rsidP="00165277">
            <w:pPr>
              <w:autoSpaceDE w:val="0"/>
              <w:autoSpaceDN w:val="0"/>
              <w:adjustRightInd w:val="0"/>
              <w:spacing w:line="300" w:lineRule="auto"/>
              <w:jc w:val="both"/>
              <w:rPr>
                <w:rFonts w:ascii="Arial" w:hAnsi="Arial" w:cs="Arial"/>
                <w:lang w:val="pl-PL"/>
              </w:rPr>
            </w:pPr>
          </w:p>
        </w:tc>
        <w:tc>
          <w:tcPr>
            <w:tcW w:w="2693" w:type="dxa"/>
          </w:tcPr>
          <w:p w14:paraId="5700610E" w14:textId="77777777" w:rsidR="00165277" w:rsidRPr="00064D2A" w:rsidRDefault="00165277" w:rsidP="00165277">
            <w:pPr>
              <w:autoSpaceDE w:val="0"/>
              <w:autoSpaceDN w:val="0"/>
              <w:adjustRightInd w:val="0"/>
              <w:spacing w:line="300" w:lineRule="auto"/>
              <w:jc w:val="both"/>
              <w:rPr>
                <w:rFonts w:ascii="Arial" w:hAnsi="Arial" w:cs="Arial"/>
                <w:b/>
                <w:bCs/>
                <w:lang w:val="pl-PL"/>
              </w:rPr>
            </w:pPr>
          </w:p>
        </w:tc>
        <w:tc>
          <w:tcPr>
            <w:tcW w:w="4111" w:type="dxa"/>
          </w:tcPr>
          <w:p w14:paraId="1491012F" w14:textId="5499DD98" w:rsidR="00165277" w:rsidRDefault="00165277" w:rsidP="00165277">
            <w:pPr>
              <w:autoSpaceDE w:val="0"/>
              <w:autoSpaceDN w:val="0"/>
              <w:adjustRightInd w:val="0"/>
              <w:jc w:val="both"/>
              <w:rPr>
                <w:rFonts w:ascii="Arial" w:hAnsi="Arial" w:cs="Arial"/>
                <w:b/>
                <w:bCs/>
                <w:lang w:val="pl-PL"/>
              </w:rPr>
            </w:pPr>
            <w:r>
              <w:rPr>
                <w:rFonts w:ascii="Arial" w:hAnsi="Arial" w:cs="Arial"/>
                <w:b/>
                <w:bCs/>
                <w:lang w:val="pl-PL"/>
              </w:rPr>
              <w:t>Opinia przyjęta</w:t>
            </w:r>
            <w:r w:rsidR="002143F8">
              <w:rPr>
                <w:rFonts w:ascii="Arial" w:hAnsi="Arial" w:cs="Arial"/>
                <w:b/>
                <w:bCs/>
                <w:lang w:val="pl-PL"/>
              </w:rPr>
              <w:t xml:space="preserve"> w następującym zakresie-</w:t>
            </w:r>
          </w:p>
          <w:p w14:paraId="50979339" w14:textId="77777777" w:rsidR="002143F8" w:rsidRDefault="002143F8" w:rsidP="00165277">
            <w:pPr>
              <w:autoSpaceDE w:val="0"/>
              <w:autoSpaceDN w:val="0"/>
              <w:adjustRightInd w:val="0"/>
              <w:jc w:val="both"/>
              <w:rPr>
                <w:rFonts w:ascii="Arial" w:hAnsi="Arial" w:cs="Arial"/>
                <w:b/>
                <w:bCs/>
                <w:lang w:val="pl-PL"/>
              </w:rPr>
            </w:pPr>
          </w:p>
          <w:p w14:paraId="1D4B2A95" w14:textId="414119B9" w:rsidR="002143F8" w:rsidRPr="002143F8" w:rsidRDefault="002143F8" w:rsidP="00165277">
            <w:pPr>
              <w:autoSpaceDE w:val="0"/>
              <w:autoSpaceDN w:val="0"/>
              <w:adjustRightInd w:val="0"/>
              <w:jc w:val="both"/>
              <w:rPr>
                <w:rFonts w:ascii="Arial" w:hAnsi="Arial" w:cs="Arial"/>
                <w:lang w:val="pl-PL"/>
              </w:rPr>
            </w:pPr>
            <w:r w:rsidRPr="002143F8">
              <w:rPr>
                <w:rFonts w:ascii="Arial" w:hAnsi="Arial" w:cs="Arial"/>
                <w:lang w:val="pl-PL"/>
              </w:rPr>
              <w:t>przepis zmieniono również w wyniku uwag MC</w:t>
            </w:r>
            <w:r>
              <w:rPr>
                <w:rFonts w:ascii="Arial" w:hAnsi="Arial" w:cs="Arial"/>
                <w:lang w:val="pl-PL"/>
              </w:rPr>
              <w:t>, w uzgodnieniu roboczym z MC. W ocenie MRiT przepis po zmianie jest adekwatny, a jednocześnie na tyle elastyczny, żeby minister mógł realizować wszystkie cele, ale wyłącznie wynikające z ustawy o obrocie.</w:t>
            </w:r>
          </w:p>
        </w:tc>
      </w:tr>
      <w:tr w:rsidR="00165277" w:rsidRPr="00064D2A" w14:paraId="6DD9A766" w14:textId="77777777" w:rsidTr="00064D2A">
        <w:tc>
          <w:tcPr>
            <w:tcW w:w="562" w:type="dxa"/>
          </w:tcPr>
          <w:p w14:paraId="00C1F065" w14:textId="0673D898" w:rsidR="00165277" w:rsidRPr="00064D2A" w:rsidRDefault="00807E88" w:rsidP="00165277">
            <w:pPr>
              <w:autoSpaceDE w:val="0"/>
              <w:autoSpaceDN w:val="0"/>
              <w:adjustRightInd w:val="0"/>
              <w:spacing w:line="300" w:lineRule="auto"/>
              <w:jc w:val="both"/>
              <w:rPr>
                <w:rFonts w:ascii="Arial" w:hAnsi="Arial" w:cs="Arial"/>
                <w:b/>
                <w:bCs/>
                <w:lang w:val="pl-PL"/>
              </w:rPr>
            </w:pPr>
            <w:r>
              <w:rPr>
                <w:rFonts w:ascii="Arial" w:hAnsi="Arial" w:cs="Arial"/>
                <w:b/>
                <w:bCs/>
                <w:lang w:val="pl-PL"/>
              </w:rPr>
              <w:t>30</w:t>
            </w:r>
            <w:r w:rsidR="00165277" w:rsidRPr="00064D2A">
              <w:rPr>
                <w:rFonts w:ascii="Arial" w:hAnsi="Arial" w:cs="Arial"/>
                <w:b/>
                <w:bCs/>
                <w:lang w:val="pl-PL"/>
              </w:rPr>
              <w:t>.</w:t>
            </w:r>
          </w:p>
        </w:tc>
        <w:tc>
          <w:tcPr>
            <w:tcW w:w="1333" w:type="dxa"/>
          </w:tcPr>
          <w:p w14:paraId="2B300306" w14:textId="555D2057" w:rsidR="00165277" w:rsidRPr="00064D2A" w:rsidRDefault="00165277" w:rsidP="00165277">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UODO</w:t>
            </w:r>
          </w:p>
        </w:tc>
        <w:tc>
          <w:tcPr>
            <w:tcW w:w="1395" w:type="dxa"/>
          </w:tcPr>
          <w:p w14:paraId="6BF0B6B9" w14:textId="567FE2C5" w:rsidR="00165277" w:rsidRPr="00064D2A" w:rsidRDefault="002143F8" w:rsidP="00165277">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 xml:space="preserve">Art. 1 pkt 16 (po zmianie pkt projektu będzie to pkt 18)  - w odniesieniu do art. 27d ust. </w:t>
            </w:r>
            <w:r>
              <w:rPr>
                <w:rFonts w:ascii="Arial" w:hAnsi="Arial" w:cs="Arial"/>
                <w:b/>
                <w:bCs/>
                <w:lang w:val="pl-PL"/>
              </w:rPr>
              <w:t>4</w:t>
            </w:r>
            <w:r w:rsidRPr="00064D2A">
              <w:rPr>
                <w:rFonts w:ascii="Arial" w:hAnsi="Arial" w:cs="Arial"/>
                <w:b/>
                <w:bCs/>
                <w:lang w:val="pl-PL"/>
              </w:rPr>
              <w:t xml:space="preserve"> ustawy o </w:t>
            </w:r>
            <w:r w:rsidRPr="00064D2A">
              <w:rPr>
                <w:rFonts w:ascii="Arial" w:hAnsi="Arial" w:cs="Arial"/>
                <w:b/>
                <w:bCs/>
                <w:lang w:val="pl-PL"/>
              </w:rPr>
              <w:lastRenderedPageBreak/>
              <w:t>obrocie z zagranicą</w:t>
            </w:r>
          </w:p>
        </w:tc>
        <w:tc>
          <w:tcPr>
            <w:tcW w:w="3793" w:type="dxa"/>
          </w:tcPr>
          <w:p w14:paraId="7D756840" w14:textId="7770E58F" w:rsidR="00165277" w:rsidRPr="0008263A" w:rsidRDefault="00165277" w:rsidP="00165277">
            <w:pPr>
              <w:jc w:val="both"/>
              <w:rPr>
                <w:rFonts w:ascii="Arial" w:hAnsi="Arial" w:cs="Arial"/>
                <w:lang w:val="pl-PL"/>
              </w:rPr>
            </w:pPr>
            <w:r w:rsidRPr="0008263A">
              <w:rPr>
                <w:rFonts w:ascii="Arial" w:hAnsi="Arial" w:cs="Arial"/>
                <w:lang w:val="pl-PL"/>
              </w:rPr>
              <w:lastRenderedPageBreak/>
              <w:t>W projektowanym art. 27d ust. 4 ustawy wskazane jest, że „Danych</w:t>
            </w:r>
            <w:r w:rsidR="004E1924">
              <w:rPr>
                <w:rFonts w:ascii="Arial" w:hAnsi="Arial" w:cs="Arial"/>
                <w:lang w:val="pl-PL"/>
              </w:rPr>
              <w:t xml:space="preserve"> </w:t>
            </w:r>
            <w:r w:rsidRPr="0008263A">
              <w:rPr>
                <w:rFonts w:ascii="Arial" w:hAnsi="Arial" w:cs="Arial"/>
                <w:lang w:val="pl-PL"/>
              </w:rPr>
              <w:t>zgromadzonych w rejestrze nie usuwa się”. Uzasadnienia wymaga wskazany w</w:t>
            </w:r>
          </w:p>
          <w:p w14:paraId="266C59A5" w14:textId="49B13458" w:rsidR="00165277" w:rsidRPr="0008263A" w:rsidRDefault="00165277" w:rsidP="00165277">
            <w:pPr>
              <w:jc w:val="both"/>
              <w:rPr>
                <w:rFonts w:ascii="Arial" w:hAnsi="Arial" w:cs="Arial"/>
                <w:lang w:val="pl-PL"/>
              </w:rPr>
            </w:pPr>
            <w:r w:rsidRPr="0008263A">
              <w:rPr>
                <w:rFonts w:ascii="Arial" w:hAnsi="Arial" w:cs="Arial"/>
                <w:lang w:val="pl-PL"/>
              </w:rPr>
              <w:t>projektowanym art. 27d ust. 4 ustawy bezterminowy okres przetwarzania danych</w:t>
            </w:r>
            <w:r w:rsidRPr="00ED6F22">
              <w:rPr>
                <w:rFonts w:ascii="Arial" w:hAnsi="Arial" w:cs="Arial"/>
                <w:lang w:val="pl-PL"/>
              </w:rPr>
              <w:t xml:space="preserve"> </w:t>
            </w:r>
            <w:r w:rsidRPr="0008263A">
              <w:rPr>
                <w:rFonts w:ascii="Arial" w:hAnsi="Arial" w:cs="Arial"/>
                <w:lang w:val="pl-PL"/>
              </w:rPr>
              <w:t>osobowych w rejestrze. Poddane ocenie powinny zostać wszelkie dokumenty</w:t>
            </w:r>
            <w:r w:rsidRPr="00ED6F22">
              <w:rPr>
                <w:rFonts w:ascii="Arial" w:hAnsi="Arial" w:cs="Arial"/>
                <w:lang w:val="pl-PL"/>
              </w:rPr>
              <w:t xml:space="preserve"> </w:t>
            </w:r>
            <w:r w:rsidRPr="0008263A">
              <w:rPr>
                <w:rFonts w:ascii="Arial" w:hAnsi="Arial" w:cs="Arial"/>
                <w:lang w:val="pl-PL"/>
              </w:rPr>
              <w:t>zawierające dane osobowe w rejestrze w świetle celów ich przetwarzania dla jakiego</w:t>
            </w:r>
            <w:r w:rsidRPr="00ED6F22">
              <w:rPr>
                <w:rFonts w:ascii="Arial" w:hAnsi="Arial" w:cs="Arial"/>
                <w:lang w:val="pl-PL"/>
              </w:rPr>
              <w:t xml:space="preserve"> </w:t>
            </w:r>
            <w:r w:rsidRPr="0008263A">
              <w:rPr>
                <w:rFonts w:ascii="Arial" w:hAnsi="Arial" w:cs="Arial"/>
                <w:lang w:val="pl-PL"/>
              </w:rPr>
              <w:t xml:space="preserve">zostały </w:t>
            </w:r>
            <w:r w:rsidRPr="0008263A">
              <w:rPr>
                <w:rFonts w:ascii="Arial" w:hAnsi="Arial" w:cs="Arial"/>
                <w:lang w:val="pl-PL"/>
              </w:rPr>
              <w:lastRenderedPageBreak/>
              <w:t>zebrane i mają być przetwarzane, które pozwolą określić kryteria kształtujące</w:t>
            </w:r>
          </w:p>
          <w:p w14:paraId="1E6FD3E6" w14:textId="18F3B53A" w:rsidR="00165277" w:rsidRPr="0008263A" w:rsidRDefault="00165277" w:rsidP="00165277">
            <w:pPr>
              <w:jc w:val="both"/>
              <w:rPr>
                <w:rFonts w:ascii="Arial" w:hAnsi="Arial" w:cs="Arial"/>
                <w:lang w:val="pl-PL"/>
              </w:rPr>
            </w:pPr>
            <w:r w:rsidRPr="0008263A">
              <w:rPr>
                <w:rFonts w:ascii="Arial" w:hAnsi="Arial" w:cs="Arial"/>
                <w:lang w:val="pl-PL"/>
              </w:rPr>
              <w:t>terminy usuwania danych nadmiarowych lub zbędnych. W uzasadnieniu do projektu</w:t>
            </w:r>
            <w:r w:rsidRPr="00ED6F22">
              <w:rPr>
                <w:rFonts w:ascii="Arial" w:hAnsi="Arial" w:cs="Arial"/>
                <w:lang w:val="pl-PL"/>
              </w:rPr>
              <w:t xml:space="preserve"> </w:t>
            </w:r>
            <w:r w:rsidRPr="0008263A">
              <w:rPr>
                <w:rFonts w:ascii="Arial" w:hAnsi="Arial" w:cs="Arial"/>
                <w:lang w:val="pl-PL"/>
              </w:rPr>
              <w:t>ustawy jedynie wskazane zostało, że „Organ kontroli obrotu niejednokrotnie musi sięgać</w:t>
            </w:r>
            <w:r w:rsidRPr="00ED6F22">
              <w:rPr>
                <w:rFonts w:ascii="Arial" w:hAnsi="Arial" w:cs="Arial"/>
                <w:lang w:val="pl-PL"/>
              </w:rPr>
              <w:t xml:space="preserve"> </w:t>
            </w:r>
            <w:r w:rsidRPr="0008263A">
              <w:rPr>
                <w:rFonts w:ascii="Arial" w:hAnsi="Arial" w:cs="Arial"/>
                <w:lang w:val="pl-PL"/>
              </w:rPr>
              <w:t>do danych tzw. archiwalnych, np. danych zawartych zezwoleniach wydanych wiele lat</w:t>
            </w:r>
            <w:r w:rsidRPr="00ED6F22">
              <w:rPr>
                <w:rFonts w:ascii="Arial" w:hAnsi="Arial" w:cs="Arial"/>
                <w:lang w:val="pl-PL"/>
              </w:rPr>
              <w:t xml:space="preserve"> </w:t>
            </w:r>
            <w:r w:rsidRPr="0008263A">
              <w:rPr>
                <w:rFonts w:ascii="Arial" w:hAnsi="Arial" w:cs="Arial"/>
                <w:lang w:val="pl-PL"/>
              </w:rPr>
              <w:t>wstecz. Dane z systemu nie będą usuwane, ponieważ muszą być one dostępne dla</w:t>
            </w:r>
            <w:r w:rsidRPr="00ED6F22">
              <w:rPr>
                <w:rFonts w:ascii="Arial" w:hAnsi="Arial" w:cs="Arial"/>
                <w:lang w:val="pl-PL"/>
              </w:rPr>
              <w:t xml:space="preserve"> </w:t>
            </w:r>
            <w:r w:rsidRPr="0008263A">
              <w:rPr>
                <w:rFonts w:ascii="Arial" w:hAnsi="Arial" w:cs="Arial"/>
                <w:lang w:val="pl-PL"/>
              </w:rPr>
              <w:t>organu kontroli obrotu w każdej chwili”. Przedstawiona w uzasadnieniu argumentacja nie</w:t>
            </w:r>
            <w:r w:rsidRPr="00ED6F22">
              <w:rPr>
                <w:rFonts w:ascii="Arial" w:hAnsi="Arial" w:cs="Arial"/>
                <w:lang w:val="pl-PL"/>
              </w:rPr>
              <w:t xml:space="preserve"> </w:t>
            </w:r>
            <w:r w:rsidRPr="0008263A">
              <w:rPr>
                <w:rFonts w:ascii="Arial" w:hAnsi="Arial" w:cs="Arial"/>
                <w:lang w:val="pl-PL"/>
              </w:rPr>
              <w:t>spełnia wymogów konstytucyjnych odnoszących się do działania organów publicznych w</w:t>
            </w:r>
          </w:p>
          <w:p w14:paraId="7F88E028" w14:textId="7D239DB9" w:rsidR="00165277" w:rsidRPr="0008263A" w:rsidRDefault="00165277" w:rsidP="00165277">
            <w:pPr>
              <w:jc w:val="both"/>
              <w:rPr>
                <w:rFonts w:ascii="Arial" w:hAnsi="Arial" w:cs="Arial"/>
                <w:lang w:val="pl-PL"/>
              </w:rPr>
            </w:pPr>
            <w:r w:rsidRPr="0008263A">
              <w:rPr>
                <w:rFonts w:ascii="Arial" w:hAnsi="Arial" w:cs="Arial"/>
                <w:lang w:val="pl-PL"/>
              </w:rPr>
              <w:t>granicach prawa. Organy władzy publicznej w świetle art. 47 i 51 Konstytucji RP nie</w:t>
            </w:r>
            <w:r w:rsidRPr="00ED6F22">
              <w:rPr>
                <w:rFonts w:ascii="Arial" w:hAnsi="Arial" w:cs="Arial"/>
                <w:lang w:val="pl-PL"/>
              </w:rPr>
              <w:t xml:space="preserve"> </w:t>
            </w:r>
            <w:r w:rsidRPr="0008263A">
              <w:rPr>
                <w:rFonts w:ascii="Arial" w:hAnsi="Arial" w:cs="Arial"/>
                <w:lang w:val="pl-PL"/>
              </w:rPr>
              <w:t>mogą w sposób nieograniczony przechowywać danych osobowych dla realizacji potrzeb</w:t>
            </w:r>
            <w:r w:rsidRPr="00ED6F22">
              <w:rPr>
                <w:rFonts w:ascii="Arial" w:hAnsi="Arial" w:cs="Arial"/>
                <w:lang w:val="pl-PL"/>
              </w:rPr>
              <w:t xml:space="preserve"> </w:t>
            </w:r>
            <w:r w:rsidRPr="0008263A">
              <w:rPr>
                <w:rFonts w:ascii="Arial" w:hAnsi="Arial" w:cs="Arial"/>
                <w:lang w:val="pl-PL"/>
              </w:rPr>
              <w:t>nieograniczonych w czasie kontroli. Przepis, dla zgodności z art. 6 ust. 3 rozporządzenia</w:t>
            </w:r>
            <w:r w:rsidRPr="00ED6F22">
              <w:rPr>
                <w:rFonts w:ascii="Arial" w:hAnsi="Arial" w:cs="Arial"/>
                <w:lang w:val="pl-PL"/>
              </w:rPr>
              <w:t xml:space="preserve"> </w:t>
            </w:r>
            <w:r w:rsidRPr="0008263A">
              <w:rPr>
                <w:rFonts w:ascii="Arial" w:hAnsi="Arial" w:cs="Arial"/>
                <w:lang w:val="pl-PL"/>
              </w:rPr>
              <w:t>2016/679, powinien wskazywać przede wszystkim cel przetwarzania danych oraz</w:t>
            </w:r>
            <w:r w:rsidRPr="00ED6F22">
              <w:rPr>
                <w:rFonts w:ascii="Arial" w:hAnsi="Arial" w:cs="Arial"/>
                <w:lang w:val="pl-PL"/>
              </w:rPr>
              <w:t xml:space="preserve"> </w:t>
            </w:r>
            <w:r w:rsidRPr="0008263A">
              <w:rPr>
                <w:rFonts w:ascii="Arial" w:hAnsi="Arial" w:cs="Arial"/>
                <w:lang w:val="pl-PL"/>
              </w:rPr>
              <w:t>powinien być poddany powtórnej analizie w kontekście wypełnienia innych warunków</w:t>
            </w:r>
            <w:r w:rsidRPr="00ED6F22">
              <w:rPr>
                <w:rFonts w:ascii="Arial" w:hAnsi="Arial" w:cs="Arial"/>
                <w:lang w:val="pl-PL"/>
              </w:rPr>
              <w:t xml:space="preserve"> </w:t>
            </w:r>
            <w:r w:rsidRPr="0008263A">
              <w:rPr>
                <w:rFonts w:ascii="Arial" w:hAnsi="Arial" w:cs="Arial"/>
                <w:lang w:val="pl-PL"/>
              </w:rPr>
              <w:t>tego przepisu adekwatnie do realizowanych ratio legis regulacji. Dodatkowo, w</w:t>
            </w:r>
          </w:p>
          <w:p w14:paraId="7052CD38" w14:textId="579F3C66" w:rsidR="00165277" w:rsidRPr="0008263A" w:rsidRDefault="00165277" w:rsidP="00165277">
            <w:pPr>
              <w:jc w:val="both"/>
              <w:rPr>
                <w:rFonts w:ascii="Arial" w:hAnsi="Arial" w:cs="Arial"/>
                <w:lang w:val="pl-PL"/>
              </w:rPr>
            </w:pPr>
            <w:r w:rsidRPr="0008263A">
              <w:rPr>
                <w:rFonts w:ascii="Arial" w:hAnsi="Arial" w:cs="Arial"/>
                <w:lang w:val="pl-PL"/>
              </w:rPr>
              <w:t>projektowanych przepisach pominięto relację omawianego art. 27d ust. 4 ustawy do</w:t>
            </w:r>
            <w:r w:rsidRPr="00ED6F22">
              <w:rPr>
                <w:rFonts w:ascii="Arial" w:hAnsi="Arial" w:cs="Arial"/>
                <w:lang w:val="pl-PL"/>
              </w:rPr>
              <w:t xml:space="preserve"> </w:t>
            </w:r>
            <w:r w:rsidRPr="0008263A">
              <w:rPr>
                <w:rFonts w:ascii="Arial" w:hAnsi="Arial" w:cs="Arial"/>
                <w:lang w:val="pl-PL"/>
              </w:rPr>
              <w:t>przepisów o archiwach13 w zakresie postępowania z dokumentacją archiwalną, w</w:t>
            </w:r>
            <w:r w:rsidRPr="00ED6F22">
              <w:rPr>
                <w:rFonts w:ascii="Arial" w:hAnsi="Arial" w:cs="Arial"/>
                <w:lang w:val="pl-PL"/>
              </w:rPr>
              <w:t xml:space="preserve"> </w:t>
            </w:r>
            <w:r w:rsidRPr="0008263A">
              <w:rPr>
                <w:rFonts w:ascii="Arial" w:hAnsi="Arial" w:cs="Arial"/>
                <w:lang w:val="pl-PL"/>
              </w:rPr>
              <w:t>szczególności do jej art. 5 ust. 1 pkt. 1. Organ nadzorczy dostrzega zatem potrzebę</w:t>
            </w:r>
            <w:r w:rsidRPr="00ED6F22">
              <w:rPr>
                <w:rFonts w:ascii="Arial" w:hAnsi="Arial" w:cs="Arial"/>
                <w:lang w:val="pl-PL"/>
              </w:rPr>
              <w:t xml:space="preserve"> </w:t>
            </w:r>
            <w:r w:rsidRPr="0008263A">
              <w:rPr>
                <w:rFonts w:ascii="Arial" w:hAnsi="Arial" w:cs="Arial"/>
                <w:lang w:val="pl-PL"/>
              </w:rPr>
              <w:t>precyzyjnego określenia okresu retencji danych osobowych przetwarzanych w ewidencji</w:t>
            </w:r>
            <w:r w:rsidRPr="00ED6F22">
              <w:rPr>
                <w:rFonts w:ascii="Arial" w:hAnsi="Arial" w:cs="Arial"/>
                <w:lang w:val="pl-PL"/>
              </w:rPr>
              <w:t xml:space="preserve"> </w:t>
            </w:r>
            <w:r w:rsidRPr="0008263A">
              <w:rPr>
                <w:rFonts w:ascii="Arial" w:hAnsi="Arial" w:cs="Arial"/>
                <w:lang w:val="pl-PL"/>
              </w:rPr>
              <w:t xml:space="preserve">prowadzonej przez organ publiczny, wyznaczone w oparciu o kryteria </w:t>
            </w:r>
            <w:r w:rsidRPr="0008263A">
              <w:rPr>
                <w:rFonts w:ascii="Arial" w:hAnsi="Arial" w:cs="Arial"/>
                <w:lang w:val="pl-PL"/>
              </w:rPr>
              <w:lastRenderedPageBreak/>
              <w:t>kształtujące</w:t>
            </w:r>
            <w:r w:rsidRPr="00ED6F22">
              <w:rPr>
                <w:rFonts w:ascii="Arial" w:hAnsi="Arial" w:cs="Arial"/>
                <w:lang w:val="pl-PL"/>
              </w:rPr>
              <w:t xml:space="preserve"> </w:t>
            </w:r>
            <w:r w:rsidRPr="0008263A">
              <w:rPr>
                <w:rFonts w:ascii="Arial" w:hAnsi="Arial" w:cs="Arial"/>
                <w:lang w:val="pl-PL"/>
              </w:rPr>
              <w:t>terminy usuwania danych nadmiarowych lub zbędnych do celów ich przetwarzania.</w:t>
            </w:r>
          </w:p>
          <w:p w14:paraId="0C9ECFBC" w14:textId="254C213B" w:rsidR="00165277" w:rsidRPr="00ED6F22" w:rsidRDefault="00165277" w:rsidP="00165277">
            <w:pPr>
              <w:jc w:val="both"/>
              <w:rPr>
                <w:rFonts w:ascii="Arial" w:hAnsi="Arial" w:cs="Arial"/>
                <w:lang w:val="pl-PL"/>
              </w:rPr>
            </w:pPr>
            <w:r w:rsidRPr="0008263A">
              <w:rPr>
                <w:rFonts w:ascii="Arial" w:hAnsi="Arial" w:cs="Arial"/>
                <w:lang w:val="pl-PL"/>
              </w:rPr>
              <w:t>Projektowane rozwiązanie wymaga ponownej oceny pod kątem zapewnienia jego</w:t>
            </w:r>
            <w:r w:rsidRPr="00ED6F22">
              <w:rPr>
                <w:rFonts w:ascii="Arial" w:hAnsi="Arial" w:cs="Arial"/>
                <w:lang w:val="pl-PL"/>
              </w:rPr>
              <w:t xml:space="preserve"> </w:t>
            </w:r>
            <w:r w:rsidRPr="0008263A">
              <w:rPr>
                <w:rFonts w:ascii="Arial" w:hAnsi="Arial" w:cs="Arial"/>
                <w:lang w:val="pl-PL"/>
              </w:rPr>
              <w:t>zgodności z zasadami wynikającymi z przepisów ogólnego rozporządzenia o ochronie</w:t>
            </w:r>
            <w:r w:rsidRPr="00ED6F22">
              <w:rPr>
                <w:rFonts w:ascii="Arial" w:hAnsi="Arial" w:cs="Arial"/>
                <w:lang w:val="pl-PL"/>
              </w:rPr>
              <w:t xml:space="preserve"> </w:t>
            </w:r>
            <w:r w:rsidRPr="0008263A">
              <w:rPr>
                <w:rFonts w:ascii="Arial" w:hAnsi="Arial" w:cs="Arial"/>
                <w:lang w:val="pl-PL"/>
              </w:rPr>
              <w:t>danych, w tym zasadą: zgodności z prawem (art. 5 ust. 1 lit a), minimalizacji danych (art.</w:t>
            </w:r>
            <w:r w:rsidRPr="00ED6F22">
              <w:rPr>
                <w:rFonts w:ascii="Arial" w:hAnsi="Arial" w:cs="Arial"/>
                <w:lang w:val="pl-PL"/>
              </w:rPr>
              <w:t xml:space="preserve"> </w:t>
            </w:r>
            <w:r w:rsidRPr="0008263A">
              <w:rPr>
                <w:rFonts w:ascii="Arial" w:hAnsi="Arial" w:cs="Arial"/>
                <w:lang w:val="pl-PL"/>
              </w:rPr>
              <w:t>5 ust. 1 lit. c) oraz ograniczenia przechowywania (art. 5 ust. 1 lit. e rozporządzenia</w:t>
            </w:r>
            <w:r w:rsidRPr="00ED6F22">
              <w:rPr>
                <w:rFonts w:ascii="Arial" w:hAnsi="Arial" w:cs="Arial"/>
                <w:lang w:val="pl-PL"/>
              </w:rPr>
              <w:t xml:space="preserve"> 2016/679).</w:t>
            </w:r>
          </w:p>
        </w:tc>
        <w:tc>
          <w:tcPr>
            <w:tcW w:w="2693" w:type="dxa"/>
          </w:tcPr>
          <w:p w14:paraId="4394062F" w14:textId="77777777" w:rsidR="00165277" w:rsidRPr="00064D2A" w:rsidRDefault="00165277" w:rsidP="00165277">
            <w:pPr>
              <w:autoSpaceDE w:val="0"/>
              <w:autoSpaceDN w:val="0"/>
              <w:adjustRightInd w:val="0"/>
              <w:spacing w:line="300" w:lineRule="auto"/>
              <w:jc w:val="both"/>
              <w:rPr>
                <w:rFonts w:ascii="Arial" w:hAnsi="Arial" w:cs="Arial"/>
                <w:b/>
                <w:bCs/>
                <w:lang w:val="pl-PL"/>
              </w:rPr>
            </w:pPr>
          </w:p>
        </w:tc>
        <w:tc>
          <w:tcPr>
            <w:tcW w:w="4111" w:type="dxa"/>
          </w:tcPr>
          <w:p w14:paraId="572D9340" w14:textId="77777777" w:rsidR="004E1924" w:rsidRDefault="004E1924" w:rsidP="004E1924">
            <w:pPr>
              <w:autoSpaceDE w:val="0"/>
              <w:autoSpaceDN w:val="0"/>
              <w:adjustRightInd w:val="0"/>
              <w:jc w:val="both"/>
              <w:rPr>
                <w:rFonts w:ascii="Arial" w:hAnsi="Arial" w:cs="Arial"/>
                <w:b/>
                <w:bCs/>
                <w:lang w:val="pl-PL"/>
              </w:rPr>
            </w:pPr>
            <w:r>
              <w:rPr>
                <w:rFonts w:ascii="Arial" w:hAnsi="Arial" w:cs="Arial"/>
                <w:b/>
                <w:bCs/>
                <w:lang w:val="pl-PL"/>
              </w:rPr>
              <w:t>Opinia przyjęta w następującym zakresie-</w:t>
            </w:r>
          </w:p>
          <w:p w14:paraId="0A76E521" w14:textId="77777777" w:rsidR="004E1924" w:rsidRDefault="004E1924" w:rsidP="004E1924">
            <w:pPr>
              <w:autoSpaceDE w:val="0"/>
              <w:autoSpaceDN w:val="0"/>
              <w:adjustRightInd w:val="0"/>
              <w:jc w:val="both"/>
              <w:rPr>
                <w:rFonts w:ascii="Arial" w:hAnsi="Arial" w:cs="Arial"/>
                <w:b/>
                <w:bCs/>
                <w:lang w:val="pl-PL"/>
              </w:rPr>
            </w:pPr>
          </w:p>
          <w:p w14:paraId="3877FAB4" w14:textId="3E72E8AE" w:rsidR="00165277" w:rsidRPr="00064D2A" w:rsidRDefault="004E1924" w:rsidP="00D277F6">
            <w:pPr>
              <w:autoSpaceDE w:val="0"/>
              <w:autoSpaceDN w:val="0"/>
              <w:adjustRightInd w:val="0"/>
              <w:jc w:val="both"/>
              <w:rPr>
                <w:rFonts w:ascii="Arial" w:hAnsi="Arial" w:cs="Arial"/>
                <w:b/>
                <w:bCs/>
                <w:lang w:val="pl-PL"/>
              </w:rPr>
            </w:pPr>
            <w:r w:rsidRPr="002143F8">
              <w:rPr>
                <w:rFonts w:ascii="Arial" w:hAnsi="Arial" w:cs="Arial"/>
                <w:lang w:val="pl-PL"/>
              </w:rPr>
              <w:t xml:space="preserve">przepis zmieniono </w:t>
            </w:r>
            <w:r w:rsidR="00D277F6">
              <w:rPr>
                <w:rFonts w:ascii="Arial" w:hAnsi="Arial" w:cs="Arial"/>
                <w:lang w:val="pl-PL"/>
              </w:rPr>
              <w:t xml:space="preserve">w zakresie wyłączenia z tego danych osobowych, które będą przetwarzane przez okres 10 lat z uwzględnieniem wymogów wynikających z przepisów prawa - </w:t>
            </w:r>
            <w:r w:rsidRPr="002143F8">
              <w:rPr>
                <w:rFonts w:ascii="Arial" w:hAnsi="Arial" w:cs="Arial"/>
                <w:lang w:val="pl-PL"/>
              </w:rPr>
              <w:t>również w wyniku uwag MC</w:t>
            </w:r>
            <w:r>
              <w:rPr>
                <w:rFonts w:ascii="Arial" w:hAnsi="Arial" w:cs="Arial"/>
                <w:lang w:val="pl-PL"/>
              </w:rPr>
              <w:t xml:space="preserve">, w uzgodnieniu roboczym z MC. W ocenie MRiT przepis po zmianie jest </w:t>
            </w:r>
            <w:r w:rsidR="00D277F6">
              <w:rPr>
                <w:rFonts w:ascii="Arial" w:hAnsi="Arial" w:cs="Arial"/>
                <w:lang w:val="pl-PL"/>
              </w:rPr>
              <w:t xml:space="preserve">adekwatny i </w:t>
            </w:r>
            <w:r>
              <w:rPr>
                <w:rFonts w:ascii="Arial" w:hAnsi="Arial" w:cs="Arial"/>
                <w:lang w:val="pl-PL"/>
              </w:rPr>
              <w:t>zasadny.</w:t>
            </w:r>
            <w:r w:rsidR="00D277F6">
              <w:rPr>
                <w:rFonts w:ascii="Arial" w:hAnsi="Arial" w:cs="Arial"/>
                <w:lang w:val="pl-PL"/>
              </w:rPr>
              <w:t xml:space="preserve"> Dodatkowo zostanie uzupełnione uzasadnienie projektu o </w:t>
            </w:r>
            <w:r w:rsidR="00D277F6">
              <w:rPr>
                <w:rFonts w:ascii="Arial" w:hAnsi="Arial" w:cs="Arial"/>
                <w:lang w:val="pl-PL"/>
              </w:rPr>
              <w:lastRenderedPageBreak/>
              <w:t xml:space="preserve">wyjaśnienie m.in. że </w:t>
            </w:r>
            <w:r w:rsidR="00D277F6" w:rsidRPr="00D277F6">
              <w:rPr>
                <w:rFonts w:ascii="Arial" w:hAnsi="Arial" w:cs="Arial"/>
              </w:rPr>
              <w:t xml:space="preserve">bez przechowywania danych </w:t>
            </w:r>
            <w:r w:rsidR="00D277F6" w:rsidRPr="00D277F6">
              <w:rPr>
                <w:rFonts w:ascii="Arial" w:hAnsi="Arial" w:cs="Arial"/>
                <w:lang w:val="pl-PL"/>
              </w:rPr>
              <w:t>osobowych przez 10 lat, cel rejestru nie zostanie prawidłowo zrealizowany</w:t>
            </w:r>
            <w:r w:rsidR="00D277F6">
              <w:rPr>
                <w:rFonts w:ascii="Arial" w:hAnsi="Arial" w:cs="Arial"/>
              </w:rPr>
              <w:t>.</w:t>
            </w:r>
          </w:p>
        </w:tc>
      </w:tr>
      <w:tr w:rsidR="00165277" w:rsidRPr="00064D2A" w14:paraId="6AC551DC" w14:textId="77777777" w:rsidTr="00064D2A">
        <w:tc>
          <w:tcPr>
            <w:tcW w:w="562" w:type="dxa"/>
          </w:tcPr>
          <w:p w14:paraId="6D4C3749" w14:textId="5EBC7459" w:rsidR="00165277" w:rsidRPr="00064D2A" w:rsidRDefault="00807E88" w:rsidP="00165277">
            <w:pPr>
              <w:autoSpaceDE w:val="0"/>
              <w:autoSpaceDN w:val="0"/>
              <w:adjustRightInd w:val="0"/>
              <w:spacing w:line="300" w:lineRule="auto"/>
              <w:jc w:val="both"/>
              <w:rPr>
                <w:rFonts w:ascii="Arial" w:hAnsi="Arial" w:cs="Arial"/>
                <w:b/>
                <w:bCs/>
              </w:rPr>
            </w:pPr>
            <w:r>
              <w:rPr>
                <w:rFonts w:ascii="Arial" w:hAnsi="Arial" w:cs="Arial"/>
                <w:b/>
                <w:bCs/>
              </w:rPr>
              <w:lastRenderedPageBreak/>
              <w:t>31</w:t>
            </w:r>
            <w:r w:rsidR="00165277">
              <w:rPr>
                <w:rFonts w:ascii="Arial" w:hAnsi="Arial" w:cs="Arial"/>
                <w:b/>
                <w:bCs/>
              </w:rPr>
              <w:t>.</w:t>
            </w:r>
          </w:p>
        </w:tc>
        <w:tc>
          <w:tcPr>
            <w:tcW w:w="1333" w:type="dxa"/>
          </w:tcPr>
          <w:p w14:paraId="1FF1D253" w14:textId="589DEE00" w:rsidR="00165277" w:rsidRPr="00064D2A" w:rsidRDefault="00165277" w:rsidP="00165277">
            <w:pPr>
              <w:autoSpaceDE w:val="0"/>
              <w:autoSpaceDN w:val="0"/>
              <w:adjustRightInd w:val="0"/>
              <w:spacing w:line="300" w:lineRule="auto"/>
              <w:jc w:val="both"/>
              <w:rPr>
                <w:rFonts w:ascii="Arial" w:hAnsi="Arial" w:cs="Arial"/>
                <w:b/>
                <w:bCs/>
              </w:rPr>
            </w:pPr>
            <w:r>
              <w:rPr>
                <w:rFonts w:ascii="Arial" w:hAnsi="Arial" w:cs="Arial"/>
                <w:b/>
                <w:bCs/>
              </w:rPr>
              <w:t>UODO</w:t>
            </w:r>
          </w:p>
        </w:tc>
        <w:tc>
          <w:tcPr>
            <w:tcW w:w="1395" w:type="dxa"/>
          </w:tcPr>
          <w:p w14:paraId="1B1E75B9" w14:textId="02D81888" w:rsidR="00165277" w:rsidRPr="00064D2A" w:rsidRDefault="004E1924" w:rsidP="00165277">
            <w:pPr>
              <w:autoSpaceDE w:val="0"/>
              <w:autoSpaceDN w:val="0"/>
              <w:adjustRightInd w:val="0"/>
              <w:spacing w:line="300" w:lineRule="auto"/>
              <w:jc w:val="both"/>
              <w:rPr>
                <w:rFonts w:ascii="Arial" w:hAnsi="Arial" w:cs="Arial"/>
                <w:b/>
                <w:bCs/>
              </w:rPr>
            </w:pPr>
            <w:r w:rsidRPr="00064D2A">
              <w:rPr>
                <w:rFonts w:ascii="Arial" w:hAnsi="Arial" w:cs="Arial"/>
                <w:b/>
                <w:bCs/>
                <w:lang w:val="pl-PL"/>
              </w:rPr>
              <w:t>Art. 1 pkt 16 (po zmianie pkt projektu będzie to pkt 18)  - w odniesieniu do art. 27</w:t>
            </w:r>
            <w:r>
              <w:rPr>
                <w:rFonts w:ascii="Arial" w:hAnsi="Arial" w:cs="Arial"/>
                <w:b/>
                <w:bCs/>
                <w:lang w:val="pl-PL"/>
              </w:rPr>
              <w:t>f</w:t>
            </w:r>
            <w:r w:rsidRPr="00064D2A">
              <w:rPr>
                <w:rFonts w:ascii="Arial" w:hAnsi="Arial" w:cs="Arial"/>
                <w:b/>
                <w:bCs/>
                <w:lang w:val="pl-PL"/>
              </w:rPr>
              <w:t xml:space="preserve"> ust. </w:t>
            </w:r>
            <w:r>
              <w:rPr>
                <w:rFonts w:ascii="Arial" w:hAnsi="Arial" w:cs="Arial"/>
                <w:b/>
                <w:bCs/>
                <w:lang w:val="pl-PL"/>
              </w:rPr>
              <w:t>3</w:t>
            </w:r>
            <w:r w:rsidRPr="00064D2A">
              <w:rPr>
                <w:rFonts w:ascii="Arial" w:hAnsi="Arial" w:cs="Arial"/>
                <w:b/>
                <w:bCs/>
                <w:lang w:val="pl-PL"/>
              </w:rPr>
              <w:t xml:space="preserve"> ustawy o obrocie z zagranicą</w:t>
            </w:r>
          </w:p>
        </w:tc>
        <w:tc>
          <w:tcPr>
            <w:tcW w:w="3793" w:type="dxa"/>
          </w:tcPr>
          <w:p w14:paraId="5C49A5C7" w14:textId="15A3C322" w:rsidR="00165277" w:rsidRPr="0008263A" w:rsidRDefault="00165277" w:rsidP="00165277">
            <w:pPr>
              <w:jc w:val="both"/>
              <w:rPr>
                <w:rFonts w:ascii="Arial" w:hAnsi="Arial" w:cs="Arial"/>
                <w:lang w:val="pl-PL"/>
              </w:rPr>
            </w:pPr>
            <w:r w:rsidRPr="0008263A">
              <w:rPr>
                <w:rFonts w:ascii="Arial" w:hAnsi="Arial" w:cs="Arial"/>
                <w:lang w:val="pl-PL"/>
              </w:rPr>
              <w:t>Art. 27f ust. 3 pkt 1 lit b ustawy przewiduje, że „Wniosek o uzyskanie dostępu</w:t>
            </w:r>
            <w:r w:rsidRPr="00ED6F22">
              <w:rPr>
                <w:rFonts w:ascii="Arial" w:hAnsi="Arial" w:cs="Arial"/>
                <w:lang w:val="pl-PL"/>
              </w:rPr>
              <w:t xml:space="preserve"> </w:t>
            </w:r>
            <w:r w:rsidRPr="0008263A">
              <w:rPr>
                <w:rFonts w:ascii="Arial" w:hAnsi="Arial" w:cs="Arial"/>
                <w:lang w:val="pl-PL"/>
              </w:rPr>
              <w:t>do danych z rejestru zawiera dane osoby fizycznej uprawnionej do reprezentowania</w:t>
            </w:r>
            <w:r w:rsidRPr="00ED6F22">
              <w:rPr>
                <w:rFonts w:ascii="Arial" w:hAnsi="Arial" w:cs="Arial"/>
                <w:lang w:val="pl-PL"/>
              </w:rPr>
              <w:t xml:space="preserve"> </w:t>
            </w:r>
            <w:r w:rsidRPr="0008263A">
              <w:rPr>
                <w:rFonts w:ascii="Arial" w:hAnsi="Arial" w:cs="Arial"/>
                <w:lang w:val="pl-PL"/>
              </w:rPr>
              <w:t>podmiotu, o którym mowa w ust. 1 numer pesel”. Wyjaśnienia projektodawcy wymaga cel</w:t>
            </w:r>
          </w:p>
          <w:p w14:paraId="3D1DBF88" w14:textId="0A252FFF" w:rsidR="00165277" w:rsidRPr="0008263A" w:rsidRDefault="00165277" w:rsidP="00165277">
            <w:pPr>
              <w:jc w:val="both"/>
              <w:rPr>
                <w:rFonts w:ascii="Arial" w:hAnsi="Arial" w:cs="Arial"/>
                <w:lang w:val="pl-PL"/>
              </w:rPr>
            </w:pPr>
            <w:r w:rsidRPr="0008263A">
              <w:rPr>
                <w:rFonts w:ascii="Arial" w:hAnsi="Arial" w:cs="Arial"/>
                <w:lang w:val="pl-PL"/>
              </w:rPr>
              <w:t>i niezbędność przetwarzania numeru PESEL. Numer ten w sposób unikalny identyfikuje</w:t>
            </w:r>
            <w:r w:rsidRPr="00ED6F22">
              <w:rPr>
                <w:rFonts w:ascii="Arial" w:hAnsi="Arial" w:cs="Arial"/>
                <w:lang w:val="pl-PL"/>
              </w:rPr>
              <w:t xml:space="preserve"> </w:t>
            </w:r>
            <w:r w:rsidRPr="0008263A">
              <w:rPr>
                <w:rFonts w:ascii="Arial" w:hAnsi="Arial" w:cs="Arial"/>
                <w:lang w:val="pl-PL"/>
              </w:rPr>
              <w:t>osobę fizyczną i pozwala na ustalenie szeregu dodatkowych dotyczących jej informacji,</w:t>
            </w:r>
            <w:r w:rsidRPr="00ED6F22">
              <w:rPr>
                <w:rFonts w:ascii="Arial" w:hAnsi="Arial" w:cs="Arial"/>
                <w:lang w:val="pl-PL"/>
              </w:rPr>
              <w:t xml:space="preserve"> </w:t>
            </w:r>
            <w:r w:rsidRPr="0008263A">
              <w:rPr>
                <w:rFonts w:ascii="Arial" w:hAnsi="Arial" w:cs="Arial"/>
                <w:lang w:val="pl-PL"/>
              </w:rPr>
              <w:t>takich jak data urodzenia czy płeć oraz nie powinien być używany w sytuacji, gdy</w:t>
            </w:r>
          </w:p>
          <w:p w14:paraId="7B6CECEA" w14:textId="572C8F3F" w:rsidR="00165277" w:rsidRPr="0008263A" w:rsidRDefault="00165277" w:rsidP="00165277">
            <w:pPr>
              <w:jc w:val="both"/>
              <w:rPr>
                <w:rFonts w:ascii="Arial" w:hAnsi="Arial" w:cs="Arial"/>
                <w:lang w:val="pl-PL"/>
              </w:rPr>
            </w:pPr>
            <w:r w:rsidRPr="0008263A">
              <w:rPr>
                <w:rFonts w:ascii="Arial" w:hAnsi="Arial" w:cs="Arial"/>
                <w:lang w:val="pl-PL"/>
              </w:rPr>
              <w:t>identyfikacja jest możliwa przez szereg innych danych osobowych. Nadmiarowym jest</w:t>
            </w:r>
            <w:r w:rsidRPr="00ED6F22">
              <w:rPr>
                <w:rFonts w:ascii="Arial" w:hAnsi="Arial" w:cs="Arial"/>
                <w:lang w:val="pl-PL"/>
              </w:rPr>
              <w:t xml:space="preserve"> </w:t>
            </w:r>
            <w:r w:rsidRPr="0008263A">
              <w:rPr>
                <w:rFonts w:ascii="Arial" w:hAnsi="Arial" w:cs="Arial"/>
                <w:lang w:val="pl-PL"/>
              </w:rPr>
              <w:t>tworzenie przepisów prawa do tego zobowiązujących, o ile takie rozwiązanie nie jest</w:t>
            </w:r>
            <w:r w:rsidRPr="00ED6F22">
              <w:rPr>
                <w:rFonts w:ascii="Arial" w:hAnsi="Arial" w:cs="Arial"/>
                <w:lang w:val="pl-PL"/>
              </w:rPr>
              <w:t xml:space="preserve"> niezbędne dla realizacji określonego w przepisach ustawy celu. Art. 87 rozporządzenia</w:t>
            </w:r>
            <w:r w:rsidRPr="00ED6F22">
              <w:rPr>
                <w:rFonts w:ascii="ArialMT" w:hAnsi="ArialMT" w:cs="ArialMT"/>
                <w:sz w:val="24"/>
                <w:szCs w:val="24"/>
                <w:lang w:val="pl-PL"/>
              </w:rPr>
              <w:t xml:space="preserve"> </w:t>
            </w:r>
            <w:r w:rsidRPr="00ED6F22">
              <w:rPr>
                <w:rFonts w:ascii="Arial" w:hAnsi="Arial" w:cs="Arial"/>
                <w:lang w:val="pl-PL"/>
              </w:rPr>
              <w:t xml:space="preserve">2016/679 wskazuje, że zobowiązanie do przyjmowania szczególnych rozwiązań dla </w:t>
            </w:r>
            <w:r w:rsidRPr="0008263A">
              <w:rPr>
                <w:rFonts w:ascii="Arial" w:hAnsi="Arial" w:cs="Arial"/>
                <w:lang w:val="pl-PL"/>
              </w:rPr>
              <w:t>krajowych numerów identyfikacyjnych wymaga wprowadzania w przepisach dotyczących</w:t>
            </w:r>
            <w:r w:rsidRPr="00ED6F22">
              <w:rPr>
                <w:rFonts w:ascii="Arial" w:hAnsi="Arial" w:cs="Arial"/>
                <w:lang w:val="pl-PL"/>
              </w:rPr>
              <w:t xml:space="preserve"> </w:t>
            </w:r>
            <w:r w:rsidRPr="0008263A">
              <w:rPr>
                <w:rFonts w:ascii="Arial" w:hAnsi="Arial" w:cs="Arial"/>
                <w:lang w:val="pl-PL"/>
              </w:rPr>
              <w:t xml:space="preserve">jego przetwarzania rozwiązań zabezpieczających nie tylko </w:t>
            </w:r>
            <w:r w:rsidRPr="0008263A">
              <w:rPr>
                <w:rFonts w:ascii="Arial" w:hAnsi="Arial" w:cs="Arial"/>
                <w:lang w:val="pl-PL"/>
              </w:rPr>
              <w:lastRenderedPageBreak/>
              <w:t>operacje wykonywane na tym</w:t>
            </w:r>
            <w:r w:rsidRPr="00ED6F22">
              <w:rPr>
                <w:rFonts w:ascii="Arial" w:hAnsi="Arial" w:cs="Arial"/>
                <w:lang w:val="pl-PL"/>
              </w:rPr>
              <w:t xml:space="preserve"> </w:t>
            </w:r>
            <w:r w:rsidRPr="0008263A">
              <w:rPr>
                <w:rFonts w:ascii="Arial" w:hAnsi="Arial" w:cs="Arial"/>
                <w:lang w:val="pl-PL"/>
              </w:rPr>
              <w:t>identyfikatorze jako na danej osobowej, ale także zabezpieczających prawa i wolności</w:t>
            </w:r>
            <w:r w:rsidRPr="00ED6F22">
              <w:rPr>
                <w:rFonts w:ascii="Arial" w:hAnsi="Arial" w:cs="Arial"/>
                <w:lang w:val="pl-PL"/>
              </w:rPr>
              <w:t xml:space="preserve"> </w:t>
            </w:r>
            <w:r w:rsidRPr="0008263A">
              <w:rPr>
                <w:rFonts w:ascii="Arial" w:hAnsi="Arial" w:cs="Arial"/>
                <w:lang w:val="pl-PL"/>
              </w:rPr>
              <w:t>identyfikowanych osób. W związku z powyższym ponownej analizy wymaga niezbędność</w:t>
            </w:r>
            <w:r w:rsidRPr="00ED6F22">
              <w:rPr>
                <w:rFonts w:ascii="Arial" w:hAnsi="Arial" w:cs="Arial"/>
                <w:lang w:val="pl-PL"/>
              </w:rPr>
              <w:t xml:space="preserve"> </w:t>
            </w:r>
            <w:r w:rsidRPr="0008263A">
              <w:rPr>
                <w:rFonts w:ascii="Arial" w:hAnsi="Arial" w:cs="Arial"/>
                <w:lang w:val="pl-PL"/>
              </w:rPr>
              <w:t>przetwarzania we wniosku o uzyskanie dostępu do danych z rejestru numeru PESEL</w:t>
            </w:r>
            <w:r w:rsidRPr="00ED6F22">
              <w:rPr>
                <w:rFonts w:ascii="Arial" w:hAnsi="Arial" w:cs="Arial"/>
                <w:lang w:val="pl-PL"/>
              </w:rPr>
              <w:t xml:space="preserve"> </w:t>
            </w:r>
            <w:r w:rsidRPr="0008263A">
              <w:rPr>
                <w:rFonts w:ascii="Arial" w:hAnsi="Arial" w:cs="Arial"/>
                <w:lang w:val="pl-PL"/>
              </w:rPr>
              <w:t>osoby fizycznej.</w:t>
            </w:r>
          </w:p>
          <w:p w14:paraId="7A96FD31" w14:textId="2E038CE1" w:rsidR="00165277" w:rsidRPr="00ED6F22" w:rsidRDefault="00165277" w:rsidP="00165277">
            <w:pPr>
              <w:jc w:val="both"/>
              <w:rPr>
                <w:rFonts w:ascii="Arial" w:hAnsi="Arial" w:cs="Arial"/>
                <w:lang w:val="pl-PL"/>
              </w:rPr>
            </w:pPr>
            <w:r w:rsidRPr="0008263A">
              <w:rPr>
                <w:rFonts w:ascii="Arial" w:hAnsi="Arial" w:cs="Arial"/>
                <w:lang w:val="pl-PL"/>
              </w:rPr>
              <w:t>Analogiczną uwagę należy podnieść do art. 27f ust. 3 pkt 3 lit b, 27f ust. 3 pkt 4</w:t>
            </w:r>
            <w:r w:rsidRPr="00ED6F22">
              <w:rPr>
                <w:rFonts w:ascii="Arial" w:hAnsi="Arial" w:cs="Arial"/>
                <w:lang w:val="pl-PL"/>
              </w:rPr>
              <w:t xml:space="preserve"> lit. b ustawy.</w:t>
            </w:r>
          </w:p>
        </w:tc>
        <w:tc>
          <w:tcPr>
            <w:tcW w:w="2693" w:type="dxa"/>
          </w:tcPr>
          <w:p w14:paraId="0D7C297B" w14:textId="77777777" w:rsidR="00165277" w:rsidRPr="00064D2A" w:rsidRDefault="00165277" w:rsidP="00165277">
            <w:pPr>
              <w:autoSpaceDE w:val="0"/>
              <w:autoSpaceDN w:val="0"/>
              <w:adjustRightInd w:val="0"/>
              <w:spacing w:line="300" w:lineRule="auto"/>
              <w:jc w:val="both"/>
              <w:rPr>
                <w:rFonts w:ascii="Arial" w:hAnsi="Arial" w:cs="Arial"/>
                <w:b/>
                <w:bCs/>
              </w:rPr>
            </w:pPr>
          </w:p>
        </w:tc>
        <w:tc>
          <w:tcPr>
            <w:tcW w:w="4111" w:type="dxa"/>
          </w:tcPr>
          <w:p w14:paraId="77585996" w14:textId="77777777" w:rsidR="00165277" w:rsidRPr="00505F2B" w:rsidRDefault="00505F2B" w:rsidP="00165277">
            <w:pPr>
              <w:autoSpaceDE w:val="0"/>
              <w:autoSpaceDN w:val="0"/>
              <w:adjustRightInd w:val="0"/>
              <w:jc w:val="both"/>
              <w:rPr>
                <w:rFonts w:ascii="Arial" w:hAnsi="Arial" w:cs="Arial"/>
                <w:b/>
                <w:bCs/>
                <w:lang w:val="pl-PL"/>
              </w:rPr>
            </w:pPr>
            <w:r w:rsidRPr="00505F2B">
              <w:rPr>
                <w:rFonts w:ascii="Arial" w:hAnsi="Arial" w:cs="Arial"/>
                <w:b/>
                <w:bCs/>
                <w:lang w:val="pl-PL"/>
              </w:rPr>
              <w:t>Wyjaśnienie do opinii-</w:t>
            </w:r>
          </w:p>
          <w:p w14:paraId="0D70D17D" w14:textId="77777777" w:rsidR="00505F2B" w:rsidRPr="00505F2B" w:rsidRDefault="00505F2B" w:rsidP="00165277">
            <w:pPr>
              <w:autoSpaceDE w:val="0"/>
              <w:autoSpaceDN w:val="0"/>
              <w:adjustRightInd w:val="0"/>
              <w:jc w:val="both"/>
              <w:rPr>
                <w:rFonts w:ascii="Arial" w:hAnsi="Arial" w:cs="Arial"/>
                <w:b/>
                <w:bCs/>
                <w:lang w:val="pl-PL"/>
              </w:rPr>
            </w:pPr>
          </w:p>
          <w:p w14:paraId="6156C591" w14:textId="1B476C86" w:rsidR="00505F2B" w:rsidRDefault="00505F2B" w:rsidP="00165277">
            <w:pPr>
              <w:autoSpaceDE w:val="0"/>
              <w:autoSpaceDN w:val="0"/>
              <w:adjustRightInd w:val="0"/>
              <w:jc w:val="both"/>
              <w:rPr>
                <w:rFonts w:ascii="Arial" w:hAnsi="Arial" w:cs="Arial"/>
              </w:rPr>
            </w:pPr>
            <w:r w:rsidRPr="00D840D7">
              <w:rPr>
                <w:rFonts w:ascii="Arial" w:hAnsi="Arial" w:cs="Arial"/>
                <w:lang w:val="pl-PL"/>
              </w:rPr>
              <w:t xml:space="preserve">W ocenie MRiT ta dana bezsprzecznie najlepiej identyfikująca osobę reprezentując ą np. spółkę eksportującą broń do krajów trzecich  </w:t>
            </w:r>
            <w:r w:rsidRPr="00D840D7">
              <w:rPr>
                <w:rFonts w:ascii="Arial" w:hAnsi="Arial" w:cs="Arial"/>
                <w:u w:val="single"/>
                <w:lang w:val="pl-PL"/>
              </w:rPr>
              <w:t>jest niezbędna</w:t>
            </w:r>
            <w:r w:rsidRPr="00D840D7">
              <w:rPr>
                <w:rFonts w:ascii="Arial" w:hAnsi="Arial" w:cs="Arial"/>
                <w:lang w:val="pl-PL"/>
              </w:rPr>
              <w:t xml:space="preserve"> z uwagi na przedmiot obrotu (uzbrojenie, produktu podwójnego zastosowania) mogące stwarzać zagrożenie i niebezpieczeństwo zarówno wewnętrzne jak i międzynarodowe. </w:t>
            </w:r>
          </w:p>
          <w:p w14:paraId="6F4FFDB7" w14:textId="4755C146" w:rsidR="00505F2B" w:rsidRPr="00FA7EAC" w:rsidRDefault="00FA7EAC" w:rsidP="00165277">
            <w:pPr>
              <w:autoSpaceDE w:val="0"/>
              <w:autoSpaceDN w:val="0"/>
              <w:adjustRightInd w:val="0"/>
              <w:jc w:val="both"/>
              <w:rPr>
                <w:rFonts w:ascii="Arial" w:hAnsi="Arial" w:cs="Arial"/>
                <w:lang w:val="pl-PL"/>
              </w:rPr>
            </w:pPr>
            <w:r w:rsidRPr="00FA7EAC">
              <w:rPr>
                <w:rFonts w:ascii="Arial" w:hAnsi="Arial" w:cs="Arial"/>
                <w:lang w:val="pl-PL"/>
              </w:rPr>
              <w:t>Ponadto, należy zauważyć</w:t>
            </w:r>
            <w:r w:rsidR="00551D2A">
              <w:rPr>
                <w:rFonts w:ascii="Arial" w:hAnsi="Arial" w:cs="Arial"/>
                <w:lang w:val="pl-PL"/>
              </w:rPr>
              <w:t>,</w:t>
            </w:r>
            <w:r w:rsidRPr="00FA7EAC">
              <w:rPr>
                <w:rFonts w:ascii="Arial" w:hAnsi="Arial" w:cs="Arial"/>
                <w:lang w:val="pl-PL"/>
              </w:rPr>
              <w:t xml:space="preserve"> że dane widniejące w rejestrze są w wielu przypadkach objęte tajemnic</w:t>
            </w:r>
            <w:r w:rsidR="00FC7819">
              <w:rPr>
                <w:rFonts w:ascii="Arial" w:hAnsi="Arial" w:cs="Arial"/>
                <w:lang w:val="pl-PL"/>
              </w:rPr>
              <w:t>ą</w:t>
            </w:r>
            <w:r w:rsidRPr="00FA7EAC">
              <w:rPr>
                <w:rFonts w:ascii="Arial" w:hAnsi="Arial" w:cs="Arial"/>
                <w:lang w:val="pl-PL"/>
              </w:rPr>
              <w:t xml:space="preserve"> </w:t>
            </w:r>
            <w:r w:rsidR="00FC7819" w:rsidRPr="00FA7EAC">
              <w:rPr>
                <w:rFonts w:ascii="Arial" w:hAnsi="Arial" w:cs="Arial"/>
                <w:lang w:val="pl-PL"/>
              </w:rPr>
              <w:t>przedsiębiorstwa</w:t>
            </w:r>
            <w:r w:rsidR="00FC7819">
              <w:rPr>
                <w:rFonts w:ascii="Arial" w:hAnsi="Arial" w:cs="Arial"/>
                <w:lang w:val="pl-PL"/>
              </w:rPr>
              <w:t>,</w:t>
            </w:r>
            <w:r w:rsidRPr="00FA7EAC">
              <w:rPr>
                <w:rFonts w:ascii="Arial" w:hAnsi="Arial" w:cs="Arial"/>
                <w:lang w:val="pl-PL"/>
              </w:rPr>
              <w:t xml:space="preserve"> zatem </w:t>
            </w:r>
            <w:r w:rsidR="00FC7819" w:rsidRPr="00FA7EAC">
              <w:rPr>
                <w:rFonts w:ascii="Arial" w:hAnsi="Arial" w:cs="Arial"/>
                <w:lang w:val="pl-PL"/>
              </w:rPr>
              <w:t>sposób</w:t>
            </w:r>
            <w:r w:rsidRPr="00FA7EAC">
              <w:rPr>
                <w:rFonts w:ascii="Arial" w:hAnsi="Arial" w:cs="Arial"/>
                <w:lang w:val="pl-PL"/>
              </w:rPr>
              <w:t xml:space="preserve"> weryfikacji oraz autoryzacji dostępu </w:t>
            </w:r>
            <w:r w:rsidR="00FC7819" w:rsidRPr="00FA7EAC">
              <w:rPr>
                <w:rFonts w:ascii="Arial" w:hAnsi="Arial" w:cs="Arial"/>
                <w:lang w:val="pl-PL"/>
              </w:rPr>
              <w:t>powinien</w:t>
            </w:r>
            <w:r w:rsidRPr="00FA7EAC">
              <w:rPr>
                <w:rFonts w:ascii="Arial" w:hAnsi="Arial" w:cs="Arial"/>
                <w:lang w:val="pl-PL"/>
              </w:rPr>
              <w:t xml:space="preserve"> być jak najbardziej dokładny</w:t>
            </w:r>
            <w:r w:rsidR="00551D2A">
              <w:rPr>
                <w:rFonts w:ascii="Arial" w:hAnsi="Arial" w:cs="Arial"/>
                <w:lang w:val="pl-PL"/>
              </w:rPr>
              <w:t xml:space="preserve"> – konieczna jest jednoznaczna identyfikacja osób zaangażowanych w proces obrotu.</w:t>
            </w:r>
          </w:p>
        </w:tc>
      </w:tr>
      <w:tr w:rsidR="00165277" w:rsidRPr="00064D2A" w14:paraId="3E987A95" w14:textId="77777777" w:rsidTr="00064D2A">
        <w:tc>
          <w:tcPr>
            <w:tcW w:w="562" w:type="dxa"/>
          </w:tcPr>
          <w:p w14:paraId="4259A750" w14:textId="6BCCE303" w:rsidR="00165277" w:rsidRPr="00064D2A" w:rsidRDefault="00807E88" w:rsidP="00165277">
            <w:pPr>
              <w:autoSpaceDE w:val="0"/>
              <w:autoSpaceDN w:val="0"/>
              <w:adjustRightInd w:val="0"/>
              <w:spacing w:line="300" w:lineRule="auto"/>
              <w:jc w:val="both"/>
              <w:rPr>
                <w:rFonts w:ascii="Arial" w:hAnsi="Arial" w:cs="Arial"/>
                <w:b/>
                <w:bCs/>
              </w:rPr>
            </w:pPr>
            <w:r>
              <w:rPr>
                <w:rFonts w:ascii="Arial" w:hAnsi="Arial" w:cs="Arial"/>
                <w:b/>
                <w:bCs/>
              </w:rPr>
              <w:t>32</w:t>
            </w:r>
            <w:r w:rsidR="00165277">
              <w:rPr>
                <w:rFonts w:ascii="Arial" w:hAnsi="Arial" w:cs="Arial"/>
                <w:b/>
                <w:bCs/>
              </w:rPr>
              <w:t>.</w:t>
            </w:r>
          </w:p>
        </w:tc>
        <w:tc>
          <w:tcPr>
            <w:tcW w:w="1333" w:type="dxa"/>
          </w:tcPr>
          <w:p w14:paraId="047470BF" w14:textId="4F9FFC5E" w:rsidR="00165277" w:rsidRPr="00064D2A" w:rsidRDefault="00165277" w:rsidP="00165277">
            <w:pPr>
              <w:autoSpaceDE w:val="0"/>
              <w:autoSpaceDN w:val="0"/>
              <w:adjustRightInd w:val="0"/>
              <w:spacing w:line="300" w:lineRule="auto"/>
              <w:jc w:val="both"/>
              <w:rPr>
                <w:rFonts w:ascii="Arial" w:hAnsi="Arial" w:cs="Arial"/>
                <w:b/>
                <w:bCs/>
              </w:rPr>
            </w:pPr>
            <w:r>
              <w:rPr>
                <w:rFonts w:ascii="Arial" w:hAnsi="Arial" w:cs="Arial"/>
                <w:b/>
                <w:bCs/>
              </w:rPr>
              <w:t>UODO</w:t>
            </w:r>
          </w:p>
        </w:tc>
        <w:tc>
          <w:tcPr>
            <w:tcW w:w="1395" w:type="dxa"/>
          </w:tcPr>
          <w:p w14:paraId="02160A36" w14:textId="2DD74403" w:rsidR="00165277" w:rsidRPr="00064D2A" w:rsidRDefault="00896068" w:rsidP="00165277">
            <w:pPr>
              <w:autoSpaceDE w:val="0"/>
              <w:autoSpaceDN w:val="0"/>
              <w:adjustRightInd w:val="0"/>
              <w:spacing w:line="300" w:lineRule="auto"/>
              <w:jc w:val="both"/>
              <w:rPr>
                <w:rFonts w:ascii="Arial" w:hAnsi="Arial" w:cs="Arial"/>
                <w:b/>
                <w:bCs/>
              </w:rPr>
            </w:pPr>
            <w:r w:rsidRPr="00064D2A">
              <w:rPr>
                <w:rFonts w:ascii="Arial" w:hAnsi="Arial" w:cs="Arial"/>
                <w:b/>
                <w:bCs/>
                <w:lang w:val="pl-PL"/>
              </w:rPr>
              <w:t>Art. 1 pkt 16 (po zmianie pkt projektu będzie to pkt 18)  - w odniesieniu do art. 27</w:t>
            </w:r>
            <w:r>
              <w:rPr>
                <w:rFonts w:ascii="Arial" w:hAnsi="Arial" w:cs="Arial"/>
                <w:b/>
                <w:bCs/>
                <w:lang w:val="pl-PL"/>
              </w:rPr>
              <w:t>g</w:t>
            </w:r>
            <w:r w:rsidRPr="00064D2A">
              <w:rPr>
                <w:rFonts w:ascii="Arial" w:hAnsi="Arial" w:cs="Arial"/>
                <w:b/>
                <w:bCs/>
                <w:lang w:val="pl-PL"/>
              </w:rPr>
              <w:t xml:space="preserve"> ust. </w:t>
            </w:r>
            <w:r w:rsidR="00802129">
              <w:rPr>
                <w:rFonts w:ascii="Arial" w:hAnsi="Arial" w:cs="Arial"/>
                <w:b/>
                <w:bCs/>
                <w:lang w:val="pl-PL"/>
              </w:rPr>
              <w:t>1</w:t>
            </w:r>
            <w:r w:rsidRPr="00064D2A">
              <w:rPr>
                <w:rFonts w:ascii="Arial" w:hAnsi="Arial" w:cs="Arial"/>
                <w:b/>
                <w:bCs/>
                <w:lang w:val="pl-PL"/>
              </w:rPr>
              <w:t xml:space="preserve"> ustawy o obrocie z zagranicą</w:t>
            </w:r>
          </w:p>
        </w:tc>
        <w:tc>
          <w:tcPr>
            <w:tcW w:w="3793" w:type="dxa"/>
          </w:tcPr>
          <w:p w14:paraId="4230E8A5" w14:textId="77777777" w:rsidR="00165277" w:rsidRPr="0008263A" w:rsidRDefault="00165277" w:rsidP="00165277">
            <w:pPr>
              <w:jc w:val="both"/>
              <w:rPr>
                <w:rFonts w:ascii="Arial" w:hAnsi="Arial" w:cs="Arial"/>
                <w:lang w:val="pl-PL"/>
              </w:rPr>
            </w:pPr>
            <w:r w:rsidRPr="0008263A">
              <w:rPr>
                <w:rFonts w:ascii="Arial" w:hAnsi="Arial" w:cs="Arial"/>
                <w:lang w:val="pl-PL"/>
              </w:rPr>
              <w:t>Art. 27g ust. 1 ustawy wskazuje, że „Minister właściwy do spraw gospodarki</w:t>
            </w:r>
          </w:p>
          <w:p w14:paraId="080E7128" w14:textId="23B11AB6" w:rsidR="00165277" w:rsidRPr="0008263A" w:rsidRDefault="00165277" w:rsidP="00165277">
            <w:pPr>
              <w:jc w:val="both"/>
              <w:rPr>
                <w:rFonts w:ascii="Arial" w:hAnsi="Arial" w:cs="Arial"/>
                <w:lang w:val="pl-PL"/>
              </w:rPr>
            </w:pPr>
            <w:r w:rsidRPr="0008263A">
              <w:rPr>
                <w:rFonts w:ascii="Arial" w:hAnsi="Arial" w:cs="Arial"/>
                <w:lang w:val="pl-PL"/>
              </w:rPr>
              <w:t>może, w drodze porozumienia, powierzyć instytutowi badawczemu w rozumieniu ustawy</w:t>
            </w:r>
            <w:r w:rsidRPr="00ED6F22">
              <w:rPr>
                <w:rFonts w:ascii="Arial" w:hAnsi="Arial" w:cs="Arial"/>
                <w:lang w:val="pl-PL"/>
              </w:rPr>
              <w:t xml:space="preserve"> </w:t>
            </w:r>
            <w:r w:rsidRPr="0008263A">
              <w:rPr>
                <w:rFonts w:ascii="Arial" w:hAnsi="Arial" w:cs="Arial"/>
                <w:lang w:val="pl-PL"/>
              </w:rPr>
              <w:t>z dnia 30 kwietnia 2010 r. o instytutach badawczych (Dz. U. z 2024 r. poz. 534) lub</w:t>
            </w:r>
            <w:r w:rsidRPr="00ED6F22">
              <w:rPr>
                <w:rFonts w:ascii="Arial" w:hAnsi="Arial" w:cs="Arial"/>
                <w:lang w:val="pl-PL"/>
              </w:rPr>
              <w:t xml:space="preserve"> </w:t>
            </w:r>
            <w:r w:rsidRPr="0008263A">
              <w:rPr>
                <w:rFonts w:ascii="Arial" w:hAnsi="Arial" w:cs="Arial"/>
                <w:lang w:val="pl-PL"/>
              </w:rPr>
              <w:t>instytutowi działającemu w ramach Sieci Badawczej Łukasiewicz w rozumieniu ustawy z</w:t>
            </w:r>
          </w:p>
          <w:p w14:paraId="2DFFED7B" w14:textId="160DAA4A" w:rsidR="00165277" w:rsidRPr="0008263A" w:rsidRDefault="00165277" w:rsidP="00165277">
            <w:pPr>
              <w:jc w:val="both"/>
              <w:rPr>
                <w:rFonts w:ascii="Arial" w:hAnsi="Arial" w:cs="Arial"/>
                <w:lang w:val="pl-PL"/>
              </w:rPr>
            </w:pPr>
            <w:r w:rsidRPr="0008263A">
              <w:rPr>
                <w:rFonts w:ascii="Arial" w:hAnsi="Arial" w:cs="Arial"/>
                <w:lang w:val="pl-PL"/>
              </w:rPr>
              <w:t>dnia 21 lutego 2019 r. o Sieci Badawczej Łukasiewicz (Dz. U. z 2024 r. poz. 925 i 1089)</w:t>
            </w:r>
            <w:r w:rsidRPr="00ED6F22">
              <w:rPr>
                <w:rFonts w:ascii="Arial" w:hAnsi="Arial" w:cs="Arial"/>
                <w:lang w:val="pl-PL"/>
              </w:rPr>
              <w:t xml:space="preserve"> </w:t>
            </w:r>
            <w:r w:rsidRPr="0008263A">
              <w:rPr>
                <w:rFonts w:ascii="Arial" w:hAnsi="Arial" w:cs="Arial"/>
                <w:lang w:val="pl-PL"/>
              </w:rPr>
              <w:t>realizację niektórych zadań związanych z utrzymaniem i rozwojem sytemu</w:t>
            </w:r>
            <w:r w:rsidRPr="00ED6F22">
              <w:rPr>
                <w:rFonts w:ascii="Arial" w:hAnsi="Arial" w:cs="Arial"/>
                <w:lang w:val="pl-PL"/>
              </w:rPr>
              <w:t xml:space="preserve"> </w:t>
            </w:r>
            <w:r w:rsidRPr="0008263A">
              <w:rPr>
                <w:rFonts w:ascii="Arial" w:hAnsi="Arial" w:cs="Arial"/>
                <w:lang w:val="pl-PL"/>
              </w:rPr>
              <w:t>teleinformatycznego, o którym mowa w art. 27d ust. 1”. Norma ta dopuszcza</w:t>
            </w:r>
            <w:r w:rsidRPr="00ED6F22">
              <w:rPr>
                <w:rFonts w:ascii="Arial" w:hAnsi="Arial" w:cs="Arial"/>
                <w:lang w:val="pl-PL"/>
              </w:rPr>
              <w:t xml:space="preserve"> </w:t>
            </w:r>
            <w:r w:rsidRPr="0008263A">
              <w:rPr>
                <w:rFonts w:ascii="Arial" w:hAnsi="Arial" w:cs="Arial"/>
                <w:lang w:val="pl-PL"/>
              </w:rPr>
              <w:t>(ewentualną) współpracę ministra właściwego do spraw gospodarki z innym podmiotem</w:t>
            </w:r>
          </w:p>
          <w:p w14:paraId="4E4650E3" w14:textId="77777777" w:rsidR="00165277" w:rsidRPr="0008263A" w:rsidRDefault="00165277" w:rsidP="00165277">
            <w:pPr>
              <w:jc w:val="both"/>
              <w:rPr>
                <w:rFonts w:ascii="Arial" w:hAnsi="Arial" w:cs="Arial"/>
                <w:lang w:val="pl-PL"/>
              </w:rPr>
            </w:pPr>
            <w:r w:rsidRPr="0008263A">
              <w:rPr>
                <w:rFonts w:ascii="Arial" w:hAnsi="Arial" w:cs="Arial"/>
                <w:lang w:val="pl-PL"/>
              </w:rPr>
              <w:t>publicznym w drodze „porozumienia”, dotyczącą utrzymania i rozwoju systemu</w:t>
            </w:r>
          </w:p>
          <w:p w14:paraId="22925D49" w14:textId="650984FE" w:rsidR="00165277" w:rsidRPr="00ED6F22" w:rsidRDefault="00165277" w:rsidP="00165277">
            <w:pPr>
              <w:jc w:val="both"/>
              <w:rPr>
                <w:rFonts w:ascii="Arial" w:hAnsi="Arial" w:cs="Arial"/>
                <w:lang w:val="pl-PL"/>
              </w:rPr>
            </w:pPr>
            <w:r w:rsidRPr="0008263A">
              <w:rPr>
                <w:rFonts w:ascii="Arial" w:hAnsi="Arial" w:cs="Arial"/>
                <w:lang w:val="pl-PL"/>
              </w:rPr>
              <w:t>teleinformatycznego, w którym przetwarzane są dane osobowe. Zasadnicze wątpliwości</w:t>
            </w:r>
            <w:r w:rsidRPr="00ED6F22">
              <w:rPr>
                <w:rFonts w:ascii="Arial" w:hAnsi="Arial" w:cs="Arial"/>
                <w:lang w:val="pl-PL"/>
              </w:rPr>
              <w:t xml:space="preserve"> </w:t>
            </w:r>
            <w:r w:rsidRPr="0008263A">
              <w:rPr>
                <w:rFonts w:ascii="Arial" w:hAnsi="Arial" w:cs="Arial"/>
                <w:lang w:val="pl-PL"/>
              </w:rPr>
              <w:t>budzi projektowana norma zważywszy, że jak wskazał sam projektodawca w</w:t>
            </w:r>
            <w:r w:rsidRPr="00ED6F22">
              <w:rPr>
                <w:rFonts w:ascii="Arial" w:hAnsi="Arial" w:cs="Arial"/>
                <w:lang w:val="pl-PL"/>
              </w:rPr>
              <w:t xml:space="preserve"> </w:t>
            </w:r>
            <w:r w:rsidRPr="0008263A">
              <w:rPr>
                <w:rFonts w:ascii="Arial" w:hAnsi="Arial" w:cs="Arial"/>
                <w:lang w:val="pl-PL"/>
              </w:rPr>
              <w:t>uzasadnieniu do projektu ustawy, „[…] minister właściwy do spraw gospodarki nie</w:t>
            </w:r>
            <w:r w:rsidRPr="00ED6F22">
              <w:rPr>
                <w:rFonts w:ascii="Arial" w:hAnsi="Arial" w:cs="Arial"/>
                <w:lang w:val="pl-PL"/>
              </w:rPr>
              <w:t xml:space="preserve"> </w:t>
            </w:r>
            <w:r w:rsidRPr="0008263A">
              <w:rPr>
                <w:rFonts w:ascii="Arial" w:hAnsi="Arial" w:cs="Arial"/>
                <w:lang w:val="pl-PL"/>
              </w:rPr>
              <w:t xml:space="preserve">dysponuje zasobami personalnymi oraz technicznymi, które pozwoliłyby na </w:t>
            </w:r>
            <w:r w:rsidRPr="0008263A">
              <w:rPr>
                <w:rFonts w:ascii="Arial" w:hAnsi="Arial" w:cs="Arial"/>
                <w:lang w:val="pl-PL"/>
              </w:rPr>
              <w:lastRenderedPageBreak/>
              <w:t>prawidłowe</w:t>
            </w:r>
            <w:r w:rsidRPr="00ED6F22">
              <w:rPr>
                <w:rFonts w:ascii="Arial" w:hAnsi="Arial" w:cs="Arial"/>
                <w:lang w:val="pl-PL"/>
              </w:rPr>
              <w:t xml:space="preserve"> </w:t>
            </w:r>
            <w:r w:rsidRPr="0008263A">
              <w:rPr>
                <w:rFonts w:ascii="Arial" w:hAnsi="Arial" w:cs="Arial"/>
                <w:lang w:val="pl-PL"/>
              </w:rPr>
              <w:t>utrzymywanie i rozwój systemu. Ze względu na istniejące ograniczenia mogące wystąpić</w:t>
            </w:r>
            <w:r w:rsidRPr="00ED6F22">
              <w:rPr>
                <w:rFonts w:ascii="Arial" w:hAnsi="Arial" w:cs="Arial"/>
                <w:lang w:val="pl-PL"/>
              </w:rPr>
              <w:t xml:space="preserve"> </w:t>
            </w:r>
            <w:r w:rsidRPr="0008263A">
              <w:rPr>
                <w:rFonts w:ascii="Arial" w:hAnsi="Arial" w:cs="Arial"/>
                <w:lang w:val="pl-PL"/>
              </w:rPr>
              <w:t>w utrzymaniu systemu teleinformatycznego, o którym mowa w art. 27g projektu ustawy,</w:t>
            </w:r>
            <w:r w:rsidRPr="00ED6F22">
              <w:rPr>
                <w:rFonts w:ascii="Arial" w:hAnsi="Arial" w:cs="Arial"/>
                <w:lang w:val="pl-PL"/>
              </w:rPr>
              <w:t xml:space="preserve"> </w:t>
            </w:r>
            <w:r w:rsidRPr="0008263A">
              <w:rPr>
                <w:rFonts w:ascii="Arial" w:hAnsi="Arial" w:cs="Arial"/>
                <w:lang w:val="pl-PL"/>
              </w:rPr>
              <w:t>zdecydowano się na pozostawienie pełnej swobody we wskazaniu konkretnych zadań</w:t>
            </w:r>
            <w:r w:rsidRPr="00ED6F22">
              <w:rPr>
                <w:rFonts w:ascii="Arial" w:hAnsi="Arial" w:cs="Arial"/>
                <w:lang w:val="pl-PL"/>
              </w:rPr>
              <w:t xml:space="preserve"> </w:t>
            </w:r>
            <w:r w:rsidRPr="0008263A">
              <w:rPr>
                <w:rFonts w:ascii="Arial" w:hAnsi="Arial" w:cs="Arial"/>
                <w:lang w:val="pl-PL"/>
              </w:rPr>
              <w:t>powierzonych Instytutowi badawczemu”. Prawa i obowiązki związane z</w:t>
            </w:r>
            <w:r w:rsidRPr="00ED6F22">
              <w:rPr>
                <w:rFonts w:ascii="Arial" w:hAnsi="Arial" w:cs="Arial"/>
                <w:lang w:val="pl-PL"/>
              </w:rPr>
              <w:t xml:space="preserve"> </w:t>
            </w:r>
            <w:r w:rsidRPr="0008263A">
              <w:rPr>
                <w:rFonts w:ascii="Arial" w:hAnsi="Arial" w:cs="Arial"/>
                <w:lang w:val="pl-PL"/>
              </w:rPr>
              <w:t>przetwarzaniem danych osobowych, zwłaszcza realizowane przez podmioty</w:t>
            </w:r>
            <w:r w:rsidRPr="00ED6F22">
              <w:rPr>
                <w:rFonts w:ascii="Arial" w:hAnsi="Arial" w:cs="Arial"/>
                <w:lang w:val="pl-PL"/>
              </w:rPr>
              <w:t xml:space="preserve"> </w:t>
            </w:r>
            <w:r w:rsidRPr="0008263A">
              <w:rPr>
                <w:rFonts w:ascii="Arial" w:hAnsi="Arial" w:cs="Arial"/>
                <w:lang w:val="pl-PL"/>
              </w:rPr>
              <w:t>publiczne, powinny być tymczasem odpowiednio i wyczerpująco unormowane w</w:t>
            </w:r>
            <w:r w:rsidRPr="00ED6F22">
              <w:rPr>
                <w:rFonts w:ascii="Arial" w:hAnsi="Arial" w:cs="Arial"/>
                <w:lang w:val="pl-PL"/>
              </w:rPr>
              <w:t xml:space="preserve"> </w:t>
            </w:r>
            <w:r w:rsidRPr="0008263A">
              <w:rPr>
                <w:rFonts w:ascii="Arial" w:hAnsi="Arial" w:cs="Arial"/>
                <w:lang w:val="pl-PL"/>
              </w:rPr>
              <w:t>przepisach powszechnie obowiązującego prawa, nie zaś w dokumencie</w:t>
            </w:r>
            <w:r w:rsidRPr="00ED6F22">
              <w:rPr>
                <w:rFonts w:ascii="Arial" w:hAnsi="Arial" w:cs="Arial"/>
                <w:lang w:val="pl-PL"/>
              </w:rPr>
              <w:t xml:space="preserve"> </w:t>
            </w:r>
            <w:r w:rsidRPr="0008263A">
              <w:rPr>
                <w:rFonts w:ascii="Arial" w:hAnsi="Arial" w:cs="Arial"/>
                <w:lang w:val="pl-PL"/>
              </w:rPr>
              <w:t>pozaustawowym, jak „porozumienie”. Powierzenie – lecz nie przekazanie – przez</w:t>
            </w:r>
            <w:r w:rsidRPr="00ED6F22">
              <w:rPr>
                <w:rFonts w:ascii="Arial" w:hAnsi="Arial" w:cs="Arial"/>
                <w:lang w:val="pl-PL"/>
              </w:rPr>
              <w:t xml:space="preserve"> </w:t>
            </w:r>
            <w:r w:rsidRPr="0008263A">
              <w:rPr>
                <w:rFonts w:ascii="Arial" w:hAnsi="Arial" w:cs="Arial"/>
                <w:lang w:val="pl-PL"/>
              </w:rPr>
              <w:t>administratora innemu podmiotowi zadań związanych z utrzymaniem i rozwijaniem</w:t>
            </w:r>
            <w:r w:rsidRPr="00ED6F22">
              <w:rPr>
                <w:rFonts w:ascii="Arial" w:hAnsi="Arial" w:cs="Arial"/>
                <w:lang w:val="pl-PL"/>
              </w:rPr>
              <w:t xml:space="preserve"> </w:t>
            </w:r>
            <w:r w:rsidRPr="0008263A">
              <w:rPr>
                <w:rFonts w:ascii="Arial" w:hAnsi="Arial" w:cs="Arial"/>
                <w:lang w:val="pl-PL"/>
              </w:rPr>
              <w:t>systemu teleinformatycznego, w którym przetwarzane są dane osobowe, o ile ma się</w:t>
            </w:r>
            <w:r w:rsidRPr="00ED6F22">
              <w:rPr>
                <w:rFonts w:ascii="Arial" w:hAnsi="Arial" w:cs="Arial"/>
                <w:lang w:val="pl-PL"/>
              </w:rPr>
              <w:t xml:space="preserve"> </w:t>
            </w:r>
            <w:r w:rsidRPr="0008263A">
              <w:rPr>
                <w:rFonts w:ascii="Arial" w:hAnsi="Arial" w:cs="Arial"/>
                <w:lang w:val="pl-PL"/>
              </w:rPr>
              <w:t>odbywać poprzez skorzystanie z instytucji prawnej powierzenia na podstawie innego</w:t>
            </w:r>
            <w:r w:rsidRPr="00ED6F22">
              <w:rPr>
                <w:rFonts w:ascii="Arial" w:hAnsi="Arial" w:cs="Arial"/>
                <w:lang w:val="pl-PL"/>
              </w:rPr>
              <w:t xml:space="preserve"> </w:t>
            </w:r>
            <w:r w:rsidRPr="0008263A">
              <w:rPr>
                <w:rFonts w:ascii="Arial" w:hAnsi="Arial" w:cs="Arial"/>
                <w:lang w:val="pl-PL"/>
              </w:rPr>
              <w:t>instrumentu prawnego (art. 28 ust. 3 rozporządzenia 2026/679), powinno być</w:t>
            </w:r>
            <w:r w:rsidRPr="00ED6F22">
              <w:rPr>
                <w:rFonts w:ascii="Arial" w:hAnsi="Arial" w:cs="Arial"/>
                <w:lang w:val="pl-PL"/>
              </w:rPr>
              <w:t xml:space="preserve"> </w:t>
            </w:r>
            <w:r w:rsidRPr="0008263A">
              <w:rPr>
                <w:rFonts w:ascii="Arial" w:hAnsi="Arial" w:cs="Arial"/>
                <w:lang w:val="pl-PL"/>
              </w:rPr>
              <w:t>ukształtowane – z uwagi na zasadę legalizmu i konstytucyjną zasadę</w:t>
            </w:r>
            <w:r w:rsidRPr="00ED6F22">
              <w:rPr>
                <w:rFonts w:ascii="Arial" w:hAnsi="Arial" w:cs="Arial"/>
                <w:lang w:val="pl-PL"/>
              </w:rPr>
              <w:t xml:space="preserve"> </w:t>
            </w:r>
            <w:r w:rsidRPr="0008263A">
              <w:rPr>
                <w:rFonts w:ascii="Arial" w:hAnsi="Arial" w:cs="Arial"/>
                <w:lang w:val="pl-PL"/>
              </w:rPr>
              <w:t>praworządności (art. 7 Konstytucji RP, art. 51 w zw. z art. 31 ust. 3 Konstytucji RP) – w</w:t>
            </w:r>
            <w:r w:rsidRPr="00ED6F22">
              <w:rPr>
                <w:rFonts w:ascii="Arial" w:hAnsi="Arial" w:cs="Arial"/>
                <w:lang w:val="pl-PL"/>
              </w:rPr>
              <w:t xml:space="preserve"> </w:t>
            </w:r>
            <w:r w:rsidRPr="0008263A">
              <w:rPr>
                <w:rFonts w:ascii="Arial" w:hAnsi="Arial" w:cs="Arial"/>
                <w:lang w:val="pl-PL"/>
              </w:rPr>
              <w:t>ustawie, wraz ze wszystkimi elementami wynikającymi z art. 28 ust. 2, 3 i 4</w:t>
            </w:r>
            <w:r w:rsidRPr="00ED6F22">
              <w:rPr>
                <w:rFonts w:ascii="Arial" w:hAnsi="Arial" w:cs="Arial"/>
                <w:lang w:val="pl-PL"/>
              </w:rPr>
              <w:t xml:space="preserve"> </w:t>
            </w:r>
            <w:r w:rsidRPr="0008263A">
              <w:rPr>
                <w:rFonts w:ascii="Arial" w:hAnsi="Arial" w:cs="Arial"/>
                <w:lang w:val="pl-PL"/>
              </w:rPr>
              <w:t>rozporządzenia 2016/679. Uzasadnionym jest zatem uzupełnienie i doprecyzowanie</w:t>
            </w:r>
            <w:r w:rsidRPr="00ED6F22">
              <w:rPr>
                <w:rFonts w:ascii="Arial" w:hAnsi="Arial" w:cs="Arial"/>
                <w:lang w:val="pl-PL"/>
              </w:rPr>
              <w:t xml:space="preserve"> regulacji, celem zapewnienia stosowania zasady zgodności z prawem, rzetelności i</w:t>
            </w:r>
            <w:r w:rsidRPr="00ED6F22">
              <w:rPr>
                <w:rFonts w:ascii="ArialMT" w:hAnsi="ArialMT" w:cs="ArialMT"/>
                <w:sz w:val="24"/>
                <w:szCs w:val="24"/>
                <w:lang w:val="pl-PL"/>
              </w:rPr>
              <w:t xml:space="preserve"> </w:t>
            </w:r>
            <w:r w:rsidRPr="00ED6F22">
              <w:rPr>
                <w:rFonts w:ascii="Arial" w:hAnsi="Arial" w:cs="Arial"/>
                <w:lang w:val="pl-PL"/>
              </w:rPr>
              <w:t xml:space="preserve">przejrzystości z art. 5 ust. 1 lit. a (jak i konstytucyjnej zasady legalizmu – aby podmioty </w:t>
            </w:r>
            <w:r w:rsidRPr="0008263A">
              <w:rPr>
                <w:rFonts w:ascii="Arial" w:hAnsi="Arial" w:cs="Arial"/>
                <w:lang w:val="pl-PL"/>
              </w:rPr>
              <w:t xml:space="preserve">realizujące zadania publiczne </w:t>
            </w:r>
            <w:r w:rsidRPr="0008263A">
              <w:rPr>
                <w:rFonts w:ascii="Arial" w:hAnsi="Arial" w:cs="Arial"/>
                <w:lang w:val="pl-PL"/>
              </w:rPr>
              <w:lastRenderedPageBreak/>
              <w:t>działały na podstawie i w granicach prawa).</w:t>
            </w:r>
          </w:p>
        </w:tc>
        <w:tc>
          <w:tcPr>
            <w:tcW w:w="2693" w:type="dxa"/>
          </w:tcPr>
          <w:p w14:paraId="64117EAE" w14:textId="77777777" w:rsidR="00165277" w:rsidRPr="00064D2A" w:rsidRDefault="00165277" w:rsidP="00165277">
            <w:pPr>
              <w:autoSpaceDE w:val="0"/>
              <w:autoSpaceDN w:val="0"/>
              <w:adjustRightInd w:val="0"/>
              <w:spacing w:line="300" w:lineRule="auto"/>
              <w:jc w:val="both"/>
              <w:rPr>
                <w:rFonts w:ascii="Arial" w:hAnsi="Arial" w:cs="Arial"/>
                <w:b/>
                <w:bCs/>
              </w:rPr>
            </w:pPr>
          </w:p>
        </w:tc>
        <w:tc>
          <w:tcPr>
            <w:tcW w:w="4111" w:type="dxa"/>
          </w:tcPr>
          <w:p w14:paraId="0BC99232" w14:textId="77777777" w:rsidR="00802129" w:rsidRDefault="00802129" w:rsidP="00802129">
            <w:pPr>
              <w:autoSpaceDE w:val="0"/>
              <w:autoSpaceDN w:val="0"/>
              <w:adjustRightInd w:val="0"/>
              <w:jc w:val="both"/>
              <w:rPr>
                <w:rFonts w:ascii="Arial" w:hAnsi="Arial" w:cs="Arial"/>
                <w:b/>
                <w:bCs/>
                <w:lang w:val="pl-PL"/>
              </w:rPr>
            </w:pPr>
            <w:r>
              <w:rPr>
                <w:rFonts w:ascii="Arial" w:hAnsi="Arial" w:cs="Arial"/>
                <w:b/>
                <w:bCs/>
                <w:lang w:val="pl-PL"/>
              </w:rPr>
              <w:t>Opinia przyjęta w następującym zakresie-</w:t>
            </w:r>
          </w:p>
          <w:p w14:paraId="4EFA307A" w14:textId="77777777" w:rsidR="00802129" w:rsidRDefault="00802129" w:rsidP="00802129">
            <w:pPr>
              <w:autoSpaceDE w:val="0"/>
              <w:autoSpaceDN w:val="0"/>
              <w:adjustRightInd w:val="0"/>
              <w:jc w:val="both"/>
              <w:rPr>
                <w:rFonts w:ascii="Arial" w:hAnsi="Arial" w:cs="Arial"/>
                <w:b/>
                <w:bCs/>
                <w:lang w:val="pl-PL"/>
              </w:rPr>
            </w:pPr>
          </w:p>
          <w:p w14:paraId="0E35BCCB" w14:textId="4CEA28FF" w:rsidR="00165277" w:rsidRPr="00064D2A" w:rsidRDefault="00802129" w:rsidP="00802129">
            <w:pPr>
              <w:autoSpaceDE w:val="0"/>
              <w:autoSpaceDN w:val="0"/>
              <w:adjustRightInd w:val="0"/>
              <w:jc w:val="both"/>
              <w:rPr>
                <w:rFonts w:ascii="Arial" w:hAnsi="Arial" w:cs="Arial"/>
                <w:b/>
                <w:bCs/>
              </w:rPr>
            </w:pPr>
            <w:r w:rsidRPr="002143F8">
              <w:rPr>
                <w:rFonts w:ascii="Arial" w:hAnsi="Arial" w:cs="Arial"/>
                <w:lang w:val="pl-PL"/>
              </w:rPr>
              <w:t xml:space="preserve">przepis zmieniono </w:t>
            </w:r>
            <w:r>
              <w:rPr>
                <w:rFonts w:ascii="Arial" w:hAnsi="Arial" w:cs="Arial"/>
                <w:lang w:val="pl-PL"/>
              </w:rPr>
              <w:t xml:space="preserve">(uzupełniono o zadania) </w:t>
            </w:r>
            <w:r w:rsidRPr="002143F8">
              <w:rPr>
                <w:rFonts w:ascii="Arial" w:hAnsi="Arial" w:cs="Arial"/>
                <w:lang w:val="pl-PL"/>
              </w:rPr>
              <w:t xml:space="preserve">również w wyniku uwag </w:t>
            </w:r>
            <w:r>
              <w:rPr>
                <w:rFonts w:ascii="Arial" w:hAnsi="Arial" w:cs="Arial"/>
                <w:lang w:val="pl-PL"/>
              </w:rPr>
              <w:t>RCL. W ocenie MRiT przepis po zmianie jest adekwatny i zasadny.</w:t>
            </w:r>
          </w:p>
        </w:tc>
      </w:tr>
      <w:tr w:rsidR="00165277" w:rsidRPr="00064D2A" w14:paraId="7B733ED1" w14:textId="77777777" w:rsidTr="00064D2A">
        <w:tc>
          <w:tcPr>
            <w:tcW w:w="562" w:type="dxa"/>
          </w:tcPr>
          <w:p w14:paraId="51F7F65B" w14:textId="69AEA019" w:rsidR="00165277" w:rsidRPr="00064D2A" w:rsidRDefault="00807E88" w:rsidP="00165277">
            <w:pPr>
              <w:autoSpaceDE w:val="0"/>
              <w:autoSpaceDN w:val="0"/>
              <w:adjustRightInd w:val="0"/>
              <w:spacing w:line="300" w:lineRule="auto"/>
              <w:jc w:val="both"/>
              <w:rPr>
                <w:rFonts w:ascii="Arial" w:hAnsi="Arial" w:cs="Arial"/>
                <w:b/>
                <w:bCs/>
                <w:lang w:val="pl-PL"/>
              </w:rPr>
            </w:pPr>
            <w:r>
              <w:rPr>
                <w:rFonts w:ascii="Arial" w:hAnsi="Arial" w:cs="Arial"/>
                <w:b/>
                <w:bCs/>
                <w:lang w:val="pl-PL"/>
              </w:rPr>
              <w:lastRenderedPageBreak/>
              <w:t>33</w:t>
            </w:r>
            <w:r w:rsidR="00165277" w:rsidRPr="00064D2A">
              <w:rPr>
                <w:rFonts w:ascii="Arial" w:hAnsi="Arial" w:cs="Arial"/>
                <w:b/>
                <w:bCs/>
                <w:lang w:val="pl-PL"/>
              </w:rPr>
              <w:t>.</w:t>
            </w:r>
          </w:p>
        </w:tc>
        <w:tc>
          <w:tcPr>
            <w:tcW w:w="1333" w:type="dxa"/>
          </w:tcPr>
          <w:p w14:paraId="30B2D61A" w14:textId="24054E73" w:rsidR="00165277" w:rsidRPr="00064D2A" w:rsidRDefault="00165277" w:rsidP="00165277">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UODO</w:t>
            </w:r>
          </w:p>
        </w:tc>
        <w:tc>
          <w:tcPr>
            <w:tcW w:w="1395" w:type="dxa"/>
          </w:tcPr>
          <w:p w14:paraId="57CC8381" w14:textId="7A093D7C" w:rsidR="00165277" w:rsidRPr="00064D2A" w:rsidRDefault="00165277" w:rsidP="00165277">
            <w:pPr>
              <w:autoSpaceDE w:val="0"/>
              <w:autoSpaceDN w:val="0"/>
              <w:adjustRightInd w:val="0"/>
              <w:spacing w:line="300" w:lineRule="auto"/>
              <w:jc w:val="both"/>
              <w:rPr>
                <w:rFonts w:ascii="Arial" w:hAnsi="Arial" w:cs="Arial"/>
                <w:b/>
                <w:bCs/>
                <w:lang w:val="pl-PL"/>
              </w:rPr>
            </w:pPr>
            <w:r w:rsidRPr="00064D2A">
              <w:rPr>
                <w:rFonts w:ascii="Arial" w:hAnsi="Arial" w:cs="Arial"/>
                <w:b/>
                <w:bCs/>
                <w:lang w:val="pl-PL"/>
              </w:rPr>
              <w:t>Opinia ogólna</w:t>
            </w:r>
          </w:p>
        </w:tc>
        <w:tc>
          <w:tcPr>
            <w:tcW w:w="3793" w:type="dxa"/>
          </w:tcPr>
          <w:p w14:paraId="1D569041" w14:textId="7EFFDF0C" w:rsidR="00165277" w:rsidRPr="0008263A" w:rsidRDefault="00165277" w:rsidP="00165277">
            <w:pPr>
              <w:jc w:val="both"/>
              <w:rPr>
                <w:rFonts w:ascii="Arial" w:hAnsi="Arial" w:cs="Arial"/>
                <w:lang w:val="pl-PL"/>
              </w:rPr>
            </w:pPr>
            <w:r w:rsidRPr="0008263A">
              <w:rPr>
                <w:rFonts w:ascii="Arial" w:hAnsi="Arial" w:cs="Arial"/>
                <w:lang w:val="pl-PL"/>
              </w:rPr>
              <w:t>Jednocześnie pragnę zauważyć, że uwagi organu nadzorczego przedstawiane w</w:t>
            </w:r>
            <w:r w:rsidRPr="00ED6F22">
              <w:rPr>
                <w:rFonts w:ascii="Arial" w:hAnsi="Arial" w:cs="Arial"/>
                <w:lang w:val="pl-PL"/>
              </w:rPr>
              <w:t xml:space="preserve"> </w:t>
            </w:r>
            <w:r w:rsidRPr="0008263A">
              <w:rPr>
                <w:rFonts w:ascii="Arial" w:hAnsi="Arial" w:cs="Arial"/>
                <w:lang w:val="pl-PL"/>
              </w:rPr>
              <w:t>toku prac legislacyjnych mają charakter eksperckich wskazówek dla Projektodawcy, który</w:t>
            </w:r>
            <w:r w:rsidRPr="00ED6F22">
              <w:rPr>
                <w:rFonts w:ascii="Arial" w:hAnsi="Arial" w:cs="Arial"/>
                <w:lang w:val="pl-PL"/>
              </w:rPr>
              <w:t xml:space="preserve"> </w:t>
            </w:r>
            <w:r w:rsidRPr="0008263A">
              <w:rPr>
                <w:rFonts w:ascii="Arial" w:hAnsi="Arial" w:cs="Arial"/>
                <w:lang w:val="pl-PL"/>
              </w:rPr>
              <w:t>podejmuje decyzję co do ostatecznego kształtu przyjmowanych norm i odpowiada za</w:t>
            </w:r>
          </w:p>
          <w:p w14:paraId="5BDDC075" w14:textId="02CCB7F2" w:rsidR="00165277" w:rsidRPr="00ED6F22" w:rsidRDefault="00165277" w:rsidP="00165277">
            <w:pPr>
              <w:jc w:val="both"/>
              <w:rPr>
                <w:rFonts w:ascii="Arial" w:hAnsi="Arial" w:cs="Arial"/>
                <w:lang w:val="pl-PL"/>
              </w:rPr>
            </w:pPr>
            <w:r w:rsidRPr="00ED6F22">
              <w:rPr>
                <w:rFonts w:ascii="Arial" w:hAnsi="Arial" w:cs="Arial"/>
                <w:lang w:val="pl-PL"/>
              </w:rPr>
              <w:t>zapewnienie ich zgodności z przepisami o ochronie danych osobowych.</w:t>
            </w:r>
          </w:p>
        </w:tc>
        <w:tc>
          <w:tcPr>
            <w:tcW w:w="2693" w:type="dxa"/>
          </w:tcPr>
          <w:p w14:paraId="652D251D" w14:textId="77777777" w:rsidR="00165277" w:rsidRPr="00064D2A" w:rsidRDefault="00165277" w:rsidP="00165277">
            <w:pPr>
              <w:autoSpaceDE w:val="0"/>
              <w:autoSpaceDN w:val="0"/>
              <w:adjustRightInd w:val="0"/>
              <w:spacing w:line="300" w:lineRule="auto"/>
              <w:jc w:val="both"/>
              <w:rPr>
                <w:rFonts w:ascii="Arial" w:hAnsi="Arial" w:cs="Arial"/>
                <w:b/>
                <w:bCs/>
                <w:lang w:val="pl-PL"/>
              </w:rPr>
            </w:pPr>
          </w:p>
        </w:tc>
        <w:tc>
          <w:tcPr>
            <w:tcW w:w="4111" w:type="dxa"/>
          </w:tcPr>
          <w:p w14:paraId="328A398C" w14:textId="77777777" w:rsidR="00165277" w:rsidRPr="00064D2A" w:rsidRDefault="00165277" w:rsidP="00165277">
            <w:pPr>
              <w:autoSpaceDE w:val="0"/>
              <w:autoSpaceDN w:val="0"/>
              <w:adjustRightInd w:val="0"/>
              <w:jc w:val="both"/>
              <w:rPr>
                <w:rFonts w:ascii="Arial" w:hAnsi="Arial" w:cs="Arial"/>
                <w:b/>
                <w:bCs/>
                <w:lang w:val="pl-PL"/>
              </w:rPr>
            </w:pPr>
            <w:r w:rsidRPr="00064D2A">
              <w:rPr>
                <w:rFonts w:ascii="Arial" w:hAnsi="Arial" w:cs="Arial"/>
                <w:b/>
                <w:bCs/>
                <w:lang w:val="pl-PL"/>
              </w:rPr>
              <w:t xml:space="preserve">Opinia przyjęta  - </w:t>
            </w:r>
          </w:p>
          <w:p w14:paraId="3B354457" w14:textId="77777777" w:rsidR="00165277" w:rsidRPr="00064D2A" w:rsidRDefault="00165277" w:rsidP="00165277">
            <w:pPr>
              <w:autoSpaceDE w:val="0"/>
              <w:autoSpaceDN w:val="0"/>
              <w:adjustRightInd w:val="0"/>
              <w:jc w:val="both"/>
              <w:rPr>
                <w:rFonts w:ascii="Arial" w:hAnsi="Arial" w:cs="Arial"/>
                <w:b/>
                <w:bCs/>
                <w:lang w:val="pl-PL"/>
              </w:rPr>
            </w:pPr>
          </w:p>
          <w:p w14:paraId="6074C9EC" w14:textId="52342721" w:rsidR="00165277" w:rsidRPr="00064D2A" w:rsidRDefault="00165277" w:rsidP="00165277">
            <w:pPr>
              <w:autoSpaceDE w:val="0"/>
              <w:autoSpaceDN w:val="0"/>
              <w:adjustRightInd w:val="0"/>
              <w:jc w:val="both"/>
              <w:rPr>
                <w:rFonts w:ascii="Arial" w:hAnsi="Arial" w:cs="Arial"/>
                <w:b/>
                <w:bCs/>
                <w:lang w:val="pl-PL"/>
              </w:rPr>
            </w:pPr>
            <w:r w:rsidRPr="00064D2A">
              <w:rPr>
                <w:rFonts w:ascii="Arial" w:hAnsi="Arial" w:cs="Arial"/>
                <w:b/>
                <w:bCs/>
                <w:lang w:val="pl-PL"/>
              </w:rPr>
              <w:t>MRiT dziękuje za przedstawienie opinii.</w:t>
            </w:r>
          </w:p>
        </w:tc>
      </w:tr>
    </w:tbl>
    <w:p w14:paraId="23C90C67" w14:textId="77777777" w:rsidR="0033196B" w:rsidRPr="00064D2A" w:rsidRDefault="0033196B" w:rsidP="0033196B"/>
    <w:p w14:paraId="0F3DE133" w14:textId="77777777" w:rsidR="0033196B" w:rsidRPr="00064D2A" w:rsidRDefault="0033196B" w:rsidP="0033196B"/>
    <w:p w14:paraId="6071A0D1" w14:textId="77777777" w:rsidR="00A20F6E" w:rsidRPr="00064D2A" w:rsidRDefault="00A20F6E"/>
    <w:p w14:paraId="0904C0CE" w14:textId="77777777" w:rsidR="00A20F6E" w:rsidRPr="00064D2A" w:rsidRDefault="00A20F6E"/>
    <w:p w14:paraId="476CF73B" w14:textId="77777777" w:rsidR="00A20F6E" w:rsidRDefault="00A20F6E"/>
    <w:sectPr w:rsidR="00A20F6E" w:rsidSect="00F75A1C">
      <w:footerReference w:type="default" r:id="rId8"/>
      <w:pgSz w:w="16838" w:h="11906" w:orient="landscape"/>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EFE5DF" w14:textId="77777777" w:rsidR="00642B64" w:rsidRPr="00064D2A" w:rsidRDefault="00642B64" w:rsidP="003E1A5B">
      <w:pPr>
        <w:spacing w:after="0" w:line="240" w:lineRule="auto"/>
      </w:pPr>
      <w:r w:rsidRPr="00064D2A">
        <w:separator/>
      </w:r>
    </w:p>
  </w:endnote>
  <w:endnote w:type="continuationSeparator" w:id="0">
    <w:p w14:paraId="13BE360A" w14:textId="77777777" w:rsidR="00642B64" w:rsidRPr="00064D2A" w:rsidRDefault="00642B64" w:rsidP="003E1A5B">
      <w:pPr>
        <w:spacing w:after="0" w:line="240" w:lineRule="auto"/>
      </w:pPr>
      <w:r w:rsidRPr="00064D2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rial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0482416"/>
      <w:docPartObj>
        <w:docPartGallery w:val="Page Numbers (Bottom of Page)"/>
        <w:docPartUnique/>
      </w:docPartObj>
    </w:sdtPr>
    <w:sdtContent>
      <w:p w14:paraId="7412B82E" w14:textId="66C210EF" w:rsidR="003E1A5B" w:rsidRPr="00064D2A" w:rsidRDefault="003E1A5B">
        <w:pPr>
          <w:pStyle w:val="Stopka"/>
          <w:jc w:val="center"/>
        </w:pPr>
        <w:r w:rsidRPr="00064D2A">
          <w:fldChar w:fldCharType="begin"/>
        </w:r>
        <w:r w:rsidRPr="00064D2A">
          <w:instrText>PAGE   \* MERGEFORMAT</w:instrText>
        </w:r>
        <w:r w:rsidRPr="00064D2A">
          <w:fldChar w:fldCharType="separate"/>
        </w:r>
        <w:r w:rsidRPr="00064D2A">
          <w:t>2</w:t>
        </w:r>
        <w:r w:rsidRPr="00064D2A">
          <w:fldChar w:fldCharType="end"/>
        </w:r>
      </w:p>
    </w:sdtContent>
  </w:sdt>
  <w:p w14:paraId="179F7D87" w14:textId="77777777" w:rsidR="003E1A5B" w:rsidRPr="00064D2A" w:rsidRDefault="003E1A5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18286D" w14:textId="77777777" w:rsidR="00642B64" w:rsidRPr="00064D2A" w:rsidRDefault="00642B64" w:rsidP="003E1A5B">
      <w:pPr>
        <w:spacing w:after="0" w:line="240" w:lineRule="auto"/>
      </w:pPr>
      <w:r w:rsidRPr="00064D2A">
        <w:separator/>
      </w:r>
    </w:p>
  </w:footnote>
  <w:footnote w:type="continuationSeparator" w:id="0">
    <w:p w14:paraId="465C07E9" w14:textId="77777777" w:rsidR="00642B64" w:rsidRPr="00064D2A" w:rsidRDefault="00642B64" w:rsidP="003E1A5B">
      <w:pPr>
        <w:spacing w:after="0" w:line="240" w:lineRule="auto"/>
      </w:pPr>
      <w:r w:rsidRPr="00064D2A">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530A3C"/>
    <w:multiLevelType w:val="hybridMultilevel"/>
    <w:tmpl w:val="52B8DC4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4B5A04EA"/>
    <w:multiLevelType w:val="hybridMultilevel"/>
    <w:tmpl w:val="9190D2A2"/>
    <w:lvl w:ilvl="0" w:tplc="B9CEC396">
      <w:start w:val="1"/>
      <w:numFmt w:val="decimal"/>
      <w:lvlText w:val="%1."/>
      <w:lvlJc w:val="left"/>
      <w:pPr>
        <w:ind w:left="720" w:hanging="360"/>
      </w:pPr>
      <w:rPr>
        <w:rFonts w:hint="default"/>
      </w:rPr>
    </w:lvl>
    <w:lvl w:ilvl="1" w:tplc="CA86F09A" w:tentative="1">
      <w:start w:val="1"/>
      <w:numFmt w:val="lowerLetter"/>
      <w:lvlText w:val="%2."/>
      <w:lvlJc w:val="left"/>
      <w:pPr>
        <w:ind w:left="1440" w:hanging="360"/>
      </w:pPr>
    </w:lvl>
    <w:lvl w:ilvl="2" w:tplc="E266DE32" w:tentative="1">
      <w:start w:val="1"/>
      <w:numFmt w:val="lowerRoman"/>
      <w:lvlText w:val="%3."/>
      <w:lvlJc w:val="right"/>
      <w:pPr>
        <w:ind w:left="2160" w:hanging="180"/>
      </w:pPr>
    </w:lvl>
    <w:lvl w:ilvl="3" w:tplc="D262B90C" w:tentative="1">
      <w:start w:val="1"/>
      <w:numFmt w:val="decimal"/>
      <w:lvlText w:val="%4."/>
      <w:lvlJc w:val="left"/>
      <w:pPr>
        <w:ind w:left="2880" w:hanging="360"/>
      </w:pPr>
    </w:lvl>
    <w:lvl w:ilvl="4" w:tplc="9EAEEC28" w:tentative="1">
      <w:start w:val="1"/>
      <w:numFmt w:val="lowerLetter"/>
      <w:lvlText w:val="%5."/>
      <w:lvlJc w:val="left"/>
      <w:pPr>
        <w:ind w:left="3600" w:hanging="360"/>
      </w:pPr>
    </w:lvl>
    <w:lvl w:ilvl="5" w:tplc="652840EC" w:tentative="1">
      <w:start w:val="1"/>
      <w:numFmt w:val="lowerRoman"/>
      <w:lvlText w:val="%6."/>
      <w:lvlJc w:val="right"/>
      <w:pPr>
        <w:ind w:left="4320" w:hanging="180"/>
      </w:pPr>
    </w:lvl>
    <w:lvl w:ilvl="6" w:tplc="30FA310C" w:tentative="1">
      <w:start w:val="1"/>
      <w:numFmt w:val="decimal"/>
      <w:lvlText w:val="%7."/>
      <w:lvlJc w:val="left"/>
      <w:pPr>
        <w:ind w:left="5040" w:hanging="360"/>
      </w:pPr>
    </w:lvl>
    <w:lvl w:ilvl="7" w:tplc="F36E63AC" w:tentative="1">
      <w:start w:val="1"/>
      <w:numFmt w:val="lowerLetter"/>
      <w:lvlText w:val="%8."/>
      <w:lvlJc w:val="left"/>
      <w:pPr>
        <w:ind w:left="5760" w:hanging="360"/>
      </w:pPr>
    </w:lvl>
    <w:lvl w:ilvl="8" w:tplc="48848784" w:tentative="1">
      <w:start w:val="1"/>
      <w:numFmt w:val="lowerRoman"/>
      <w:lvlText w:val="%9."/>
      <w:lvlJc w:val="right"/>
      <w:pPr>
        <w:ind w:left="6480" w:hanging="180"/>
      </w:pPr>
    </w:lvl>
  </w:abstractNum>
  <w:num w:numId="1" w16cid:durableId="820656554">
    <w:abstractNumId w:val="1"/>
  </w:num>
  <w:num w:numId="2" w16cid:durableId="11926905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0F6E"/>
    <w:rsid w:val="000136B4"/>
    <w:rsid w:val="00060D71"/>
    <w:rsid w:val="00064D2A"/>
    <w:rsid w:val="00070545"/>
    <w:rsid w:val="000827D7"/>
    <w:rsid w:val="00097219"/>
    <w:rsid w:val="00114F01"/>
    <w:rsid w:val="00122927"/>
    <w:rsid w:val="00165277"/>
    <w:rsid w:val="00185D46"/>
    <w:rsid w:val="001A1A33"/>
    <w:rsid w:val="001A6CF0"/>
    <w:rsid w:val="001B0094"/>
    <w:rsid w:val="001B6DB3"/>
    <w:rsid w:val="002010E0"/>
    <w:rsid w:val="00204627"/>
    <w:rsid w:val="002143F8"/>
    <w:rsid w:val="0024344F"/>
    <w:rsid w:val="002535F1"/>
    <w:rsid w:val="00292720"/>
    <w:rsid w:val="002D3BCE"/>
    <w:rsid w:val="002E730A"/>
    <w:rsid w:val="00301DBD"/>
    <w:rsid w:val="00311254"/>
    <w:rsid w:val="0033196B"/>
    <w:rsid w:val="003546E0"/>
    <w:rsid w:val="003E1A5B"/>
    <w:rsid w:val="003E300A"/>
    <w:rsid w:val="0046454A"/>
    <w:rsid w:val="0049157F"/>
    <w:rsid w:val="004E1924"/>
    <w:rsid w:val="004F39AE"/>
    <w:rsid w:val="00500F8E"/>
    <w:rsid w:val="00502EB4"/>
    <w:rsid w:val="00505F2B"/>
    <w:rsid w:val="00517538"/>
    <w:rsid w:val="00543CAA"/>
    <w:rsid w:val="00551D2A"/>
    <w:rsid w:val="00575043"/>
    <w:rsid w:val="00580DF2"/>
    <w:rsid w:val="00582F29"/>
    <w:rsid w:val="005831AC"/>
    <w:rsid w:val="005856F7"/>
    <w:rsid w:val="005A49E1"/>
    <w:rsid w:val="005C0F3F"/>
    <w:rsid w:val="005D59C6"/>
    <w:rsid w:val="005F1B2A"/>
    <w:rsid w:val="00600F10"/>
    <w:rsid w:val="00622F8A"/>
    <w:rsid w:val="00642B64"/>
    <w:rsid w:val="006824D2"/>
    <w:rsid w:val="00685E59"/>
    <w:rsid w:val="00721ECD"/>
    <w:rsid w:val="00723560"/>
    <w:rsid w:val="0073469E"/>
    <w:rsid w:val="00776AB5"/>
    <w:rsid w:val="00802129"/>
    <w:rsid w:val="00807E88"/>
    <w:rsid w:val="00832647"/>
    <w:rsid w:val="00896068"/>
    <w:rsid w:val="008A4716"/>
    <w:rsid w:val="00950947"/>
    <w:rsid w:val="009942F3"/>
    <w:rsid w:val="00994AAA"/>
    <w:rsid w:val="009A7CD6"/>
    <w:rsid w:val="009E31AD"/>
    <w:rsid w:val="00A20F6E"/>
    <w:rsid w:val="00A56BD2"/>
    <w:rsid w:val="00B076D2"/>
    <w:rsid w:val="00B16C87"/>
    <w:rsid w:val="00B547EE"/>
    <w:rsid w:val="00B56E14"/>
    <w:rsid w:val="00B576EE"/>
    <w:rsid w:val="00B97019"/>
    <w:rsid w:val="00BB6A4F"/>
    <w:rsid w:val="00BE58FB"/>
    <w:rsid w:val="00C0341B"/>
    <w:rsid w:val="00C04F1F"/>
    <w:rsid w:val="00C13C7F"/>
    <w:rsid w:val="00C35997"/>
    <w:rsid w:val="00C553D3"/>
    <w:rsid w:val="00C77E26"/>
    <w:rsid w:val="00CB7C09"/>
    <w:rsid w:val="00CD1E2E"/>
    <w:rsid w:val="00D22C10"/>
    <w:rsid w:val="00D277F6"/>
    <w:rsid w:val="00D4137E"/>
    <w:rsid w:val="00D76997"/>
    <w:rsid w:val="00D840D7"/>
    <w:rsid w:val="00DF6ED5"/>
    <w:rsid w:val="00DF7E2E"/>
    <w:rsid w:val="00EA021D"/>
    <w:rsid w:val="00EA23D3"/>
    <w:rsid w:val="00EC5D4B"/>
    <w:rsid w:val="00ED6F22"/>
    <w:rsid w:val="00F33BEB"/>
    <w:rsid w:val="00F75A1C"/>
    <w:rsid w:val="00FA7EAC"/>
    <w:rsid w:val="00FC78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3C3D0"/>
  <w15:chartTrackingRefBased/>
  <w15:docId w15:val="{4131B82B-AC1C-465D-8DDF-0695382A0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A20F6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A20F6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A20F6E"/>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A20F6E"/>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A20F6E"/>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A20F6E"/>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A20F6E"/>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A20F6E"/>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A20F6E"/>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20F6E"/>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A20F6E"/>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A20F6E"/>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A20F6E"/>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A20F6E"/>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A20F6E"/>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A20F6E"/>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20F6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20F6E"/>
    <w:rPr>
      <w:rFonts w:eastAsiaTheme="majorEastAsia" w:cstheme="majorBidi"/>
      <w:color w:val="272727" w:themeColor="text1" w:themeTint="D8"/>
    </w:rPr>
  </w:style>
  <w:style w:type="paragraph" w:styleId="Tytu">
    <w:name w:val="Title"/>
    <w:basedOn w:val="Normalny"/>
    <w:next w:val="Normalny"/>
    <w:link w:val="TytuZnak"/>
    <w:uiPriority w:val="10"/>
    <w:qFormat/>
    <w:rsid w:val="00A20F6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20F6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A20F6E"/>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20F6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20F6E"/>
    <w:pPr>
      <w:spacing w:before="160"/>
      <w:jc w:val="center"/>
    </w:pPr>
    <w:rPr>
      <w:i/>
      <w:iCs/>
      <w:color w:val="404040" w:themeColor="text1" w:themeTint="BF"/>
    </w:rPr>
  </w:style>
  <w:style w:type="character" w:customStyle="1" w:styleId="CytatZnak">
    <w:name w:val="Cytat Znak"/>
    <w:basedOn w:val="Domylnaczcionkaakapitu"/>
    <w:link w:val="Cytat"/>
    <w:uiPriority w:val="29"/>
    <w:rsid w:val="00A20F6E"/>
    <w:rPr>
      <w:i/>
      <w:iCs/>
      <w:color w:val="404040" w:themeColor="text1" w:themeTint="BF"/>
    </w:rPr>
  </w:style>
  <w:style w:type="paragraph" w:styleId="Akapitzlist">
    <w:name w:val="List Paragraph"/>
    <w:basedOn w:val="Normalny"/>
    <w:uiPriority w:val="34"/>
    <w:qFormat/>
    <w:rsid w:val="00A20F6E"/>
    <w:pPr>
      <w:ind w:left="720"/>
      <w:contextualSpacing/>
    </w:pPr>
  </w:style>
  <w:style w:type="character" w:styleId="Wyrnienieintensywne">
    <w:name w:val="Intense Emphasis"/>
    <w:basedOn w:val="Domylnaczcionkaakapitu"/>
    <w:uiPriority w:val="21"/>
    <w:qFormat/>
    <w:rsid w:val="00A20F6E"/>
    <w:rPr>
      <w:i/>
      <w:iCs/>
      <w:color w:val="0F4761" w:themeColor="accent1" w:themeShade="BF"/>
    </w:rPr>
  </w:style>
  <w:style w:type="paragraph" w:styleId="Cytatintensywny">
    <w:name w:val="Intense Quote"/>
    <w:basedOn w:val="Normalny"/>
    <w:next w:val="Normalny"/>
    <w:link w:val="CytatintensywnyZnak"/>
    <w:uiPriority w:val="30"/>
    <w:qFormat/>
    <w:rsid w:val="00A20F6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A20F6E"/>
    <w:rPr>
      <w:i/>
      <w:iCs/>
      <w:color w:val="0F4761" w:themeColor="accent1" w:themeShade="BF"/>
    </w:rPr>
  </w:style>
  <w:style w:type="character" w:styleId="Odwoanieintensywne">
    <w:name w:val="Intense Reference"/>
    <w:basedOn w:val="Domylnaczcionkaakapitu"/>
    <w:uiPriority w:val="32"/>
    <w:qFormat/>
    <w:rsid w:val="00A20F6E"/>
    <w:rPr>
      <w:b/>
      <w:bCs/>
      <w:smallCaps/>
      <w:color w:val="0F4761" w:themeColor="accent1" w:themeShade="BF"/>
      <w:spacing w:val="5"/>
    </w:rPr>
  </w:style>
  <w:style w:type="table" w:styleId="Tabela-Siatka">
    <w:name w:val="Table Grid"/>
    <w:basedOn w:val="Standardowy"/>
    <w:rsid w:val="00A20F6E"/>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E1A5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1A5B"/>
  </w:style>
  <w:style w:type="paragraph" w:styleId="Stopka">
    <w:name w:val="footer"/>
    <w:basedOn w:val="Normalny"/>
    <w:link w:val="StopkaZnak"/>
    <w:uiPriority w:val="99"/>
    <w:unhideWhenUsed/>
    <w:rsid w:val="003E1A5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1A5B"/>
  </w:style>
  <w:style w:type="character" w:styleId="Odwoaniedokomentarza">
    <w:name w:val="annotation reference"/>
    <w:basedOn w:val="Domylnaczcionkaakapitu"/>
    <w:uiPriority w:val="99"/>
    <w:semiHidden/>
    <w:unhideWhenUsed/>
    <w:rsid w:val="00BB6A4F"/>
    <w:rPr>
      <w:sz w:val="16"/>
      <w:szCs w:val="16"/>
    </w:rPr>
  </w:style>
  <w:style w:type="paragraph" w:styleId="Tekstkomentarza">
    <w:name w:val="annotation text"/>
    <w:basedOn w:val="Normalny"/>
    <w:link w:val="TekstkomentarzaZnak"/>
    <w:uiPriority w:val="99"/>
    <w:unhideWhenUsed/>
    <w:rsid w:val="00BB6A4F"/>
    <w:pPr>
      <w:spacing w:line="240" w:lineRule="auto"/>
    </w:pPr>
    <w:rPr>
      <w:sz w:val="20"/>
      <w:szCs w:val="20"/>
    </w:rPr>
  </w:style>
  <w:style w:type="character" w:customStyle="1" w:styleId="TekstkomentarzaZnak">
    <w:name w:val="Tekst komentarza Znak"/>
    <w:basedOn w:val="Domylnaczcionkaakapitu"/>
    <w:link w:val="Tekstkomentarza"/>
    <w:uiPriority w:val="99"/>
    <w:rsid w:val="00BB6A4F"/>
    <w:rPr>
      <w:sz w:val="20"/>
      <w:szCs w:val="20"/>
    </w:rPr>
  </w:style>
  <w:style w:type="paragraph" w:styleId="Tematkomentarza">
    <w:name w:val="annotation subject"/>
    <w:basedOn w:val="Tekstkomentarza"/>
    <w:next w:val="Tekstkomentarza"/>
    <w:link w:val="TematkomentarzaZnak"/>
    <w:uiPriority w:val="99"/>
    <w:semiHidden/>
    <w:unhideWhenUsed/>
    <w:rsid w:val="00BB6A4F"/>
    <w:rPr>
      <w:b/>
      <w:bCs/>
    </w:rPr>
  </w:style>
  <w:style w:type="character" w:customStyle="1" w:styleId="TematkomentarzaZnak">
    <w:name w:val="Temat komentarza Znak"/>
    <w:basedOn w:val="TekstkomentarzaZnak"/>
    <w:link w:val="Tematkomentarza"/>
    <w:uiPriority w:val="99"/>
    <w:semiHidden/>
    <w:rsid w:val="00BB6A4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412312">
      <w:bodyDiv w:val="1"/>
      <w:marLeft w:val="0"/>
      <w:marRight w:val="0"/>
      <w:marTop w:val="0"/>
      <w:marBottom w:val="0"/>
      <w:divBdr>
        <w:top w:val="none" w:sz="0" w:space="0" w:color="auto"/>
        <w:left w:val="none" w:sz="0" w:space="0" w:color="auto"/>
        <w:bottom w:val="none" w:sz="0" w:space="0" w:color="auto"/>
        <w:right w:val="none" w:sz="0" w:space="0" w:color="auto"/>
      </w:divBdr>
    </w:div>
    <w:div w:id="439615934">
      <w:bodyDiv w:val="1"/>
      <w:marLeft w:val="0"/>
      <w:marRight w:val="0"/>
      <w:marTop w:val="0"/>
      <w:marBottom w:val="0"/>
      <w:divBdr>
        <w:top w:val="none" w:sz="0" w:space="0" w:color="auto"/>
        <w:left w:val="none" w:sz="0" w:space="0" w:color="auto"/>
        <w:bottom w:val="none" w:sz="0" w:space="0" w:color="auto"/>
        <w:right w:val="none" w:sz="0" w:space="0" w:color="auto"/>
      </w:divBdr>
    </w:div>
    <w:div w:id="492112921">
      <w:bodyDiv w:val="1"/>
      <w:marLeft w:val="0"/>
      <w:marRight w:val="0"/>
      <w:marTop w:val="0"/>
      <w:marBottom w:val="0"/>
      <w:divBdr>
        <w:top w:val="none" w:sz="0" w:space="0" w:color="auto"/>
        <w:left w:val="none" w:sz="0" w:space="0" w:color="auto"/>
        <w:bottom w:val="none" w:sz="0" w:space="0" w:color="auto"/>
        <w:right w:val="none" w:sz="0" w:space="0" w:color="auto"/>
      </w:divBdr>
    </w:div>
    <w:div w:id="596327944">
      <w:bodyDiv w:val="1"/>
      <w:marLeft w:val="0"/>
      <w:marRight w:val="0"/>
      <w:marTop w:val="0"/>
      <w:marBottom w:val="0"/>
      <w:divBdr>
        <w:top w:val="none" w:sz="0" w:space="0" w:color="auto"/>
        <w:left w:val="none" w:sz="0" w:space="0" w:color="auto"/>
        <w:bottom w:val="none" w:sz="0" w:space="0" w:color="auto"/>
        <w:right w:val="none" w:sz="0" w:space="0" w:color="auto"/>
      </w:divBdr>
    </w:div>
    <w:div w:id="773285737">
      <w:bodyDiv w:val="1"/>
      <w:marLeft w:val="0"/>
      <w:marRight w:val="0"/>
      <w:marTop w:val="0"/>
      <w:marBottom w:val="0"/>
      <w:divBdr>
        <w:top w:val="none" w:sz="0" w:space="0" w:color="auto"/>
        <w:left w:val="none" w:sz="0" w:space="0" w:color="auto"/>
        <w:bottom w:val="none" w:sz="0" w:space="0" w:color="auto"/>
        <w:right w:val="none" w:sz="0" w:space="0" w:color="auto"/>
      </w:divBdr>
    </w:div>
    <w:div w:id="862938178">
      <w:bodyDiv w:val="1"/>
      <w:marLeft w:val="0"/>
      <w:marRight w:val="0"/>
      <w:marTop w:val="0"/>
      <w:marBottom w:val="0"/>
      <w:divBdr>
        <w:top w:val="none" w:sz="0" w:space="0" w:color="auto"/>
        <w:left w:val="none" w:sz="0" w:space="0" w:color="auto"/>
        <w:bottom w:val="none" w:sz="0" w:space="0" w:color="auto"/>
        <w:right w:val="none" w:sz="0" w:space="0" w:color="auto"/>
      </w:divBdr>
    </w:div>
    <w:div w:id="1286083793">
      <w:bodyDiv w:val="1"/>
      <w:marLeft w:val="0"/>
      <w:marRight w:val="0"/>
      <w:marTop w:val="0"/>
      <w:marBottom w:val="0"/>
      <w:divBdr>
        <w:top w:val="none" w:sz="0" w:space="0" w:color="auto"/>
        <w:left w:val="none" w:sz="0" w:space="0" w:color="auto"/>
        <w:bottom w:val="none" w:sz="0" w:space="0" w:color="auto"/>
        <w:right w:val="none" w:sz="0" w:space="0" w:color="auto"/>
      </w:divBdr>
    </w:div>
    <w:div w:id="1408648477">
      <w:bodyDiv w:val="1"/>
      <w:marLeft w:val="0"/>
      <w:marRight w:val="0"/>
      <w:marTop w:val="0"/>
      <w:marBottom w:val="0"/>
      <w:divBdr>
        <w:top w:val="none" w:sz="0" w:space="0" w:color="auto"/>
        <w:left w:val="none" w:sz="0" w:space="0" w:color="auto"/>
        <w:bottom w:val="none" w:sz="0" w:space="0" w:color="auto"/>
        <w:right w:val="none" w:sz="0" w:space="0" w:color="auto"/>
      </w:divBdr>
    </w:div>
    <w:div w:id="1591354128">
      <w:bodyDiv w:val="1"/>
      <w:marLeft w:val="0"/>
      <w:marRight w:val="0"/>
      <w:marTop w:val="0"/>
      <w:marBottom w:val="0"/>
      <w:divBdr>
        <w:top w:val="none" w:sz="0" w:space="0" w:color="auto"/>
        <w:left w:val="none" w:sz="0" w:space="0" w:color="auto"/>
        <w:bottom w:val="none" w:sz="0" w:space="0" w:color="auto"/>
        <w:right w:val="none" w:sz="0" w:space="0" w:color="auto"/>
      </w:divBdr>
    </w:div>
    <w:div w:id="1636179150">
      <w:bodyDiv w:val="1"/>
      <w:marLeft w:val="0"/>
      <w:marRight w:val="0"/>
      <w:marTop w:val="0"/>
      <w:marBottom w:val="0"/>
      <w:divBdr>
        <w:top w:val="none" w:sz="0" w:space="0" w:color="auto"/>
        <w:left w:val="none" w:sz="0" w:space="0" w:color="auto"/>
        <w:bottom w:val="none" w:sz="0" w:space="0" w:color="auto"/>
        <w:right w:val="none" w:sz="0" w:space="0" w:color="auto"/>
      </w:divBdr>
    </w:div>
    <w:div w:id="1689216306">
      <w:bodyDiv w:val="1"/>
      <w:marLeft w:val="0"/>
      <w:marRight w:val="0"/>
      <w:marTop w:val="0"/>
      <w:marBottom w:val="0"/>
      <w:divBdr>
        <w:top w:val="none" w:sz="0" w:space="0" w:color="auto"/>
        <w:left w:val="none" w:sz="0" w:space="0" w:color="auto"/>
        <w:bottom w:val="none" w:sz="0" w:space="0" w:color="auto"/>
        <w:right w:val="none" w:sz="0" w:space="0" w:color="auto"/>
      </w:divBdr>
    </w:div>
    <w:div w:id="2073847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95386B-7AFC-4D97-8A3B-05FD8A985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9031</Words>
  <Characters>54189</Characters>
  <Application>Microsoft Office Word</Application>
  <DocSecurity>0</DocSecurity>
  <Lines>451</Lines>
  <Paragraphs>126</Paragraphs>
  <ScaleCrop>false</ScaleCrop>
  <HeadingPairs>
    <vt:vector size="2" baseType="variant">
      <vt:variant>
        <vt:lpstr>Tytuł</vt:lpstr>
      </vt:variant>
      <vt:variant>
        <vt:i4>1</vt:i4>
      </vt:variant>
    </vt:vector>
  </HeadingPairs>
  <TitlesOfParts>
    <vt:vector size="1" baseType="lpstr">
      <vt:lpstr/>
    </vt:vector>
  </TitlesOfParts>
  <Company>HP Inc.</Company>
  <LinksUpToDate>false</LinksUpToDate>
  <CharactersWithSpaces>63094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Terlikowska Ewa</dc:creator>
  <cp:keywords/>
  <dc:description/>
  <cp:lastModifiedBy>Herman Anna</cp:lastModifiedBy>
  <cp:revision>2</cp:revision>
  <dcterms:created xsi:type="dcterms:W3CDTF">2025-01-10T10:20:00Z</dcterms:created>
  <dcterms:modified xsi:type="dcterms:W3CDTF">2025-01-10T10:20:00Z</dcterms:modified>
</cp:coreProperties>
</file>